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9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1025"/>
        <w:gridCol w:w="403"/>
        <w:gridCol w:w="61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水利工程系教师一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土木工程（0814）、水利工程（0815）、土木水利(0859)专业；研究生学历、硕士及以上学位；本科要求土木或水利大类专业；年龄30周岁以下。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水利工程系教师二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水利工程（0815）专业；研究生学历、硕士及以上学位；本科要求为水文与水资源工程（081102）专业；年龄30周岁以下。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水利工程系教师三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工程管理(1256)、管理科学与工程(1201)专业；研究生学历、硕士及以上学位；本科要求土木或水利大类专业；年龄30周岁以下。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水利工程系教师四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生态学(0713)、环境工程（083002水生态研究方向)专业；研究生学历、硕士及以上学位；本科专业要求为环境生态工程（082504）；年龄30周岁以下。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建筑工程系教师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测绘科学与技术（0816）专业；研究生学历、硕士及以上学位；年龄35周岁以下；具有2年企业或高校工作经历。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信息工程系（经济管理系）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管理科学与工程(1201)、工商管理(1202)专业；研究生学历、硕士及以上学位；本科专业要求为电子商务专业（120801），电子商务与法律专业（120802T),跨境电子商务（120803T)；年龄30周岁以下。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信息工程系（经济管理系）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设计学（1305）、艺术（1351）专业；研究生学历、硕士及以上学位；本科专业要求为环境设计（130503）；年龄35周岁以下；具有相关企业工作经历1年以上。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信息工程系（经济管理系）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设计学（1305）、艺术（1351）专业；研究生学历、硕士及以上学位；本科专业要求为数字媒体艺术（130508）；年龄35周岁以下；具有1年以上企业工作经验或高校教学经验。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信息工程系（经济管理系）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设计学（1305）、艺术（1351）专业；研究生学历、硕士及以上学位；本科专业要求为动画（130310）；年龄35周岁以下；具有1年以上企业工作经验或高校教学经验。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机电工程系教师一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航空宇航科学与技术（0825）专业；研究生学历、硕士及以上学位；年龄30周岁以下。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机电工程系教师二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信息与通信工程（0810）、电路与系统（080902）专业；研究生学历、硕士及以上学位；年龄30周岁以下。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机电工程系教师三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电气工程（0808）专业；研究生学历、硕士及以上学位；年龄30周岁以下。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公共教学部教师一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心理学（0402）、心理健康教育（045116）专业；研究生学历、硕士及以上学位；本硕专业相同或相近；年龄30周岁以下。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公共教学部教师二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数学（0701）专业；研究生学历、硕士及以上学位；本硕专业相同或相近；年龄30周岁以下。</w:t>
            </w:r>
          </w:p>
          <w:bookmarkEnd w:id="0"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公共教学部教师三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中国语言文学（0501）专业；研究生学历、硕士及以上学位；本硕专业相同或相近；年龄30周岁以下。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公共教学部教师四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音乐与舞蹈学（1302）专业；研究生学历、硕士及以上学位；本硕专业相同或相近；年龄30周岁以下。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公共教学部教师五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教育学（0401）专业；研究生学历、硕士及以上学位；本硕专业相同或相近；年龄30周岁以下。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教师兼行政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土木工程（0814）、测绘科学与技术（0816）专业；研究生学历、硕士及以上学位；中共党员；年龄30周岁以下。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十九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学生管理岗一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专业不限；研究生学历、硕士及以上学位；中共党员；年龄30周岁以下；需入住男生宿舍，限男性。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学生管理岗二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专业不限；研究生学历、硕士及以上学位；中共党员；年龄30周岁以下；需入住女生宿舍，限女性。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3BF2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1336</Words>
  <Characters>1507</Characters>
  <Lines>0</Lines>
  <Paragraphs>0</Paragraphs>
  <TotalTime>0</TotalTime>
  <ScaleCrop>false</ScaleCrop>
  <LinksUpToDate>false</LinksUpToDate>
  <CharactersWithSpaces>1507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2023-04-28T05:40:57Z</dcterms:created>
  <dc:creator>Administrator</dc:creator>
  <cp:lastModifiedBy>Administrator</cp:lastModifiedBy>
  <dcterms:modified xsi:type="dcterms:W3CDTF">2023-04-28T05:41:09Z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BD03FDB0FAFB4B75A99EF42813773C56_12</vt:lpwstr>
  </property>
</Properties>
</file>