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引才岗位</w:t>
      </w:r>
    </w:p>
    <w:tbl>
      <w:tblPr>
        <w:tblW w:w="955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5"/>
        <w:gridCol w:w="576"/>
        <w:gridCol w:w="3935"/>
        <w:gridCol w:w="816"/>
        <w:gridCol w:w="500"/>
        <w:gridCol w:w="214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用人单位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所需专业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最低学历层次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需求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青海湖民族寄宿制学校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藏语文教师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藏语言文学、中国少数民族语言文学（藏）、藏文翻译、藏语言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博士生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化学类、学科教学（化学）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生物学类、学科教学（生物）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地理学类、学科教学（地理）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历史学类、学科教学（历史）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共和县民族中学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思想政治教师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马克思主义理论类、政治学类、学科教学（思政）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物理学类、学科教学（物理）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共和县塘格木镇英德尔民族寄宿制小学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汉语言文学、汉语言、汉语国际教育、中国古典文献学、中国古代文学、中国现当代文学、学科教学（语文）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试用期满考核合格后，择优选调至共和县高级中学任教。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数学类、学科教学（数学）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思想政治教师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马克思主义理论类、政治学类、学科教学（思政）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共和县塘格木镇寄宿制小学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英语语言文学、外国语言学及应用语言学（英语方向）、学科教学（英语）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3293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2023-04-06T09:03:53Z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01061AE960744AEDAEDDC95F6E5B2339_12</vt:lpwstr>
  </property>
</Properties>
</file>