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3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1143"/>
        <w:gridCol w:w="589"/>
        <w:gridCol w:w="2507"/>
        <w:gridCol w:w="3449"/>
        <w:gridCol w:w="103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学校类别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其他条件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分配意向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普通高中11名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普高英语教师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英语相关专业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普通高中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普高政治教师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政治相关专业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普高历史教师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历史相关专业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普高地理教师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地理相关专业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普高物理教师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物理相关专业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普高化学教师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化学相关专业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普高通用技术教师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电子、机械、物理相关专业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5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职业学校</w:t>
            </w:r>
            <w:bookmarkStart w:id="0" w:name="_GoBack"/>
            <w:bookmarkEnd w:id="0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7名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职高数学教师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数学相关专业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建德市新安江职业学校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职高口语专业教师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学前教育、播音主持或汉语言文学专业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具有普通话水平一级乙等证书。须在聘用后两年内(2025年7月31日前)取得适用的教师资格证书和普通话等级证书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职高计算机专业教师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计算机科学与技术、软件工程、数字媒体技术专业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须在聘用后两年内(2025年7月31日前)取得适用的教师资格证书和普通话等级证书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职高数控技术专业教师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机械设计制造及自动化专业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职高旅游专业教师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旅游服务与管理专业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职高财会专业教师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会计、金融专业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职高烹饪专业教师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烹饪与营养教育专业（西餐烹饪、西式面点方向）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汉语言文学相关专业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城区街道初中、中心镇初中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数学相关专业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初中科学教师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物理、化学、生物及科学教育相关专业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初中信息教师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计算机相关专业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小学20名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汉语言文学相关专业、小学教育、小学教育学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城区街道小学、镇中心小学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数学相关专业、小学教育、小学教育学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技工学校5名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技校数学教师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数学与应用数学、信息与计算科学专业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建德市工业技术学校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技校化工专业教师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化学、应用化学、化学工程与工艺专业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须在聘用后两年内(2025年7月31日前)取得适用的教师资格证书和普通话等级证书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技校机械专业实习指导教师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机械设计制造及其自动化、机械工程、机械工程及自动化专业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9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技校电工专业实习指导教师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电气工程及其自动化、电气自动化、自动化、电气技术教育、电气工程专业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B22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2022-11-04T02:29:13Z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376EFE9276EB48E9A9918C8DDAB70815</vt:lpwstr>
  </property>
</Properties>
</file>