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8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招聘岗位和待遇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(一)符合“元光学者”岗位要求的各类人才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9386" w:type="dxa"/>
        <w:jc w:val="center"/>
        <w:tblInd w:w="-432" w:type="dxa"/>
        <w:shd w:val="clear" w:color="auto" w:fill="F9F6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1113"/>
        <w:gridCol w:w="2178"/>
        <w:gridCol w:w="1187"/>
        <w:gridCol w:w="1450"/>
        <w:gridCol w:w="533"/>
        <w:gridCol w:w="1394"/>
        <w:gridCol w:w="1049"/>
      </w:tblGrid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11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81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入职支持</w:t>
            </w:r>
          </w:p>
        </w:tc>
        <w:tc>
          <w:tcPr>
            <w:tcW w:w="297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薪酬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学科建设经费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住房补贴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租房补贴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（元/月）或高层次人才周转住房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元光学者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津贴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（万元/年）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一层次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卓越岗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(可面议)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(可面议)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5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基本工资+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绩效工资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年收入≥150万元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二层次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领军岗A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理工科：800-1000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人文社科或经管类：300-500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4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年收入≥90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领军岗B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理工科：600-800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人文社科或经管类：200-300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14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特聘岗A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理工科：300-500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人文社科或经管类：100-200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4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年收入≥60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特聘岗B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理工科：150-400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人文社科或经管类：50-100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四层次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启航岗A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理工科：100-200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人文社科或经管类：30-50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启航岗B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理工科：30-50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人文社科或经管类：10-30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53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学校可提供公寓式周转房等良好的住宿条件。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更多优惠政策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1.齐全的资源配置：提供良好的科研平台、办公用房和科研空间。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2.完善的服务保障：职能部门及所在学院提供一站式服务。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3.子女可享受天津市优质的教育资源。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4.来校面试的旅费均由我校承担。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5. 特聘岗A及以上人才，每年保证至少2个博士生招收指标和多名博士后招收指标；配偶如符合学校入编条件，学校将接收其到校工作；对于不符合入编条件的，学校将帮助其就业。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校内符合“元光学者”条件的同类人才，申请成功后享受相同的工资和“元光学者津贴”。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（二）优秀人才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tbl>
      <w:tblPr>
        <w:tblW w:w="9389" w:type="dxa"/>
        <w:jc w:val="center"/>
        <w:tblInd w:w="-436" w:type="dxa"/>
        <w:shd w:val="clear" w:color="auto" w:fill="F9F6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4"/>
        <w:gridCol w:w="4159"/>
        <w:gridCol w:w="1574"/>
        <w:gridCol w:w="178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人才层次</w:t>
            </w:r>
          </w:p>
        </w:tc>
        <w:tc>
          <w:tcPr>
            <w:tcW w:w="4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学科建设经费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15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住房补贴及安家费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（万元）</w:t>
            </w:r>
          </w:p>
        </w:tc>
        <w:tc>
          <w:tcPr>
            <w:tcW w:w="17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薪酬</w:t>
            </w:r>
          </w:p>
        </w:tc>
      </w:tr>
      <w:tr>
        <w:tblPrEx>
          <w:shd w:val="clear" w:color="auto" w:fill="F9F6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正高级专业技术职务者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理工科：100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人文社科或经管类：60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基本工资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+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绩效工资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副高级专业技术职务者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理工科：50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人文社科或经管类：30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其他优秀博士毕业生</w:t>
            </w:r>
          </w:p>
        </w:tc>
        <w:tc>
          <w:tcPr>
            <w:tcW w:w="4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理工科：25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人文社科或经管类：15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23232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9F6ED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7"/>
          <w:szCs w:val="17"/>
          <w:bdr w:val="none" w:color="auto" w:sz="0" w:space="0"/>
          <w:shd w:val="clear" w:fill="F9F6ED"/>
          <w:lang w:val="en-US" w:eastAsia="zh-CN" w:bidi="ar"/>
        </w:rPr>
        <w:t>符合学校相关政策及公开招聘岗位的应聘要求，具有高级专业技术职务或具有较大发展潜力的优秀博士毕业生。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63A4E"/>
    <w:rsid w:val="34563A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2018-12-20T06:22:00Z</dcterms:created>
  <dc:creator>ASUS</dc:creator>
  <cp:lastModifiedBy>ASUS</cp:lastModifiedBy>
  <dcterms:modified xsi:type="dcterms:W3CDTF">2018-12-20T06:22:58Z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