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300" w:beforeAutospacing="0" w:after="0" w:afterAutospacing="0" w:line="240" w:lineRule="auto"/>
        <w:ind w:left="0" w:right="0" w:firstLine="0"/>
        <w:jc w:val="center"/>
        <w:textAlignment w:val="baseline"/>
        <w:rPr>
          <w:rFonts w:ascii="Arial" w:hAnsi="Arial" w:cs="Arial"/>
          <w:b/>
          <w:i w:val="0"/>
          <w:caps w:val="0"/>
          <w:color w:val="000000"/>
          <w:spacing w:val="0"/>
          <w:sz w:val="37"/>
          <w:szCs w:val="37"/>
        </w:rPr>
      </w:pPr>
      <w:bookmarkStart w:id="0" w:name="_GoBack"/>
      <w:r>
        <w:rPr>
          <w:rFonts w:hint="default" w:ascii="Arial" w:hAnsi="Arial" w:cs="Arial"/>
          <w:b/>
          <w:i w:val="0"/>
          <w:caps w:val="0"/>
          <w:color w:val="000000"/>
          <w:spacing w:val="0"/>
          <w:sz w:val="37"/>
          <w:szCs w:val="37"/>
          <w:bdr w:val="none" w:color="auto" w:sz="0" w:space="0"/>
          <w:shd w:val="clear" w:fill="FFFEFF"/>
          <w:vertAlign w:val="baseline"/>
        </w:rPr>
        <w:t>2018年太仓市教育系统公开招聘高层次人才简章</w:t>
      </w:r>
    </w:p>
    <w:bookmarkEnd w:id="0"/>
    <w:p>
      <w:pPr>
        <w:keepNext w:val="0"/>
        <w:keepLines w:val="0"/>
        <w:widowControl/>
        <w:suppressLineNumbers w:val="0"/>
        <w:jc w:val="left"/>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根据《事业单位公开招聘人员暂行规定》（人事部2005年6号令）、《江苏省事业单位公开招聘工作人员办法》（苏办发〔2011〕46号）、《省教育厅省人力资源和社会保障厅关于进一步做好全省中小学校新进教师公开招聘工作的意见》（苏教规〔2016〕1号）和《苏州市事业单位公开招聘工作人员暂行办法》（苏办发〔2011〕27号）有关规定，经太仓市人力资源和社会保障局同意，太仓市教育系统决定赴高校公开招聘全日制普通高校研究生30名。现将有关事项公布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72"/>
        <w:jc w:val="left"/>
        <w:textAlignment w:val="baseline"/>
        <w:rPr>
          <w:rFonts w:ascii="Arial" w:hAnsi="Arial" w:cs="Arial"/>
          <w:b w:val="0"/>
          <w:i w:val="0"/>
          <w:caps w:val="0"/>
          <w:color w:val="000000"/>
          <w:spacing w:val="0"/>
          <w:sz w:val="18"/>
          <w:szCs w:val="18"/>
        </w:rPr>
      </w:pPr>
      <w:r>
        <w:rPr>
          <w:rFonts w:ascii="新宋体" w:hAnsi="新宋体" w:eastAsia="新宋体" w:cs="新宋体"/>
          <w:b/>
          <w:i w:val="0"/>
          <w:caps w:val="0"/>
          <w:color w:val="000000"/>
          <w:spacing w:val="0"/>
          <w:kern w:val="0"/>
          <w:sz w:val="18"/>
          <w:szCs w:val="18"/>
          <w:bdr w:val="none" w:color="auto" w:sz="0" w:space="0"/>
          <w:shd w:val="clear" w:fill="FFFEFF"/>
          <w:vertAlign w:val="baseline"/>
          <w:lang w:val="en-US" w:eastAsia="zh-CN" w:bidi="ar"/>
        </w:rPr>
        <w:t>一、招聘范围和对象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2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EFF"/>
          <w:vertAlign w:val="baseline"/>
          <w:lang w:val="en-US" w:eastAsia="zh-CN" w:bidi="ar"/>
        </w:rPr>
        <w:t>　　</w:t>
      </w:r>
      <w:r>
        <w:rPr>
          <w:rFonts w:hint="eastAsia" w:ascii="新宋体" w:hAnsi="新宋体" w:eastAsia="新宋体" w:cs="新宋体"/>
          <w:b w:val="0"/>
          <w:i w:val="0"/>
          <w:caps w:val="0"/>
          <w:color w:val="000000"/>
          <w:spacing w:val="0"/>
          <w:kern w:val="0"/>
          <w:sz w:val="24"/>
          <w:szCs w:val="24"/>
          <w:bdr w:val="none" w:color="auto" w:sz="0" w:space="0"/>
          <w:shd w:val="clear" w:fill="FFFEFF"/>
          <w:vertAlign w:val="baseline"/>
          <w:lang w:val="en-US" w:eastAsia="zh-CN" w:bidi="ar"/>
        </w:rPr>
        <w:t>凡符合本次公开招聘基本条件及招聘岗位所需专业技能、身体等条件的人员，均可报名。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2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i w:val="0"/>
          <w:caps w:val="0"/>
          <w:color w:val="000000"/>
          <w:spacing w:val="0"/>
          <w:kern w:val="0"/>
          <w:sz w:val="21"/>
          <w:szCs w:val="21"/>
          <w:bdr w:val="none" w:color="auto" w:sz="0" w:space="0"/>
          <w:shd w:val="clear" w:fill="FFFEFF"/>
          <w:vertAlign w:val="baseline"/>
          <w:lang w:val="en-US" w:eastAsia="zh-CN" w:bidi="ar"/>
        </w:rPr>
        <w:t>　　</w:t>
      </w:r>
      <w:r>
        <w:rPr>
          <w:rFonts w:hint="eastAsia" w:ascii="新宋体" w:hAnsi="新宋体" w:eastAsia="新宋体" w:cs="新宋体"/>
          <w:b/>
          <w:i w:val="0"/>
          <w:caps w:val="0"/>
          <w:color w:val="000000"/>
          <w:spacing w:val="0"/>
          <w:kern w:val="0"/>
          <w:sz w:val="18"/>
          <w:szCs w:val="18"/>
          <w:bdr w:val="none" w:color="auto" w:sz="0" w:space="0"/>
          <w:shd w:val="clear" w:fill="FFFEFF"/>
          <w:vertAlign w:val="baseline"/>
          <w:lang w:val="en-US" w:eastAsia="zh-CN" w:bidi="ar"/>
        </w:rPr>
        <w:t>二、招聘基本条件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2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EFF"/>
          <w:vertAlign w:val="baseline"/>
          <w:lang w:val="en-US" w:eastAsia="zh-CN" w:bidi="ar"/>
        </w:rPr>
        <w:t>　　</w:t>
      </w:r>
      <w:r>
        <w:rPr>
          <w:rFonts w:hint="eastAsia" w:ascii="新宋体" w:hAnsi="新宋体" w:eastAsia="新宋体" w:cs="新宋体"/>
          <w:b w:val="0"/>
          <w:i w:val="0"/>
          <w:caps w:val="0"/>
          <w:color w:val="000000"/>
          <w:spacing w:val="0"/>
          <w:kern w:val="0"/>
          <w:sz w:val="24"/>
          <w:szCs w:val="24"/>
          <w:bdr w:val="none" w:color="auto" w:sz="0" w:space="0"/>
          <w:shd w:val="clear" w:fill="FFFEFF"/>
          <w:vertAlign w:val="baseline"/>
          <w:lang w:val="en-US" w:eastAsia="zh-CN" w:bidi="ar"/>
        </w:rPr>
        <w:t>（一）具有中华人民共和国国籍，遵纪守法，品行端正，无违法犯罪记录，并具有正常履行岗位职责必备的身体条件和招聘岗位所规定的具体资格条件。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65"/>
        <w:jc w:val="left"/>
        <w:textAlignment w:val="baseline"/>
        <w:rPr>
          <w:rFonts w:hint="default" w:ascii="Arial" w:hAnsi="Arial" w:cs="Arial"/>
          <w:b w:val="0"/>
          <w:i w:val="0"/>
          <w:caps w:val="0"/>
          <w:color w:val="000000"/>
          <w:spacing w:val="0"/>
          <w:sz w:val="18"/>
          <w:szCs w:val="18"/>
        </w:rPr>
      </w:pPr>
      <w:r>
        <w:rPr>
          <w:rFonts w:hint="eastAsia" w:ascii="新宋体" w:hAnsi="新宋体" w:eastAsia="新宋体" w:cs="新宋体"/>
          <w:b w:val="0"/>
          <w:i w:val="0"/>
          <w:caps w:val="0"/>
          <w:color w:val="000000"/>
          <w:spacing w:val="0"/>
          <w:kern w:val="0"/>
          <w:sz w:val="24"/>
          <w:szCs w:val="24"/>
          <w:bdr w:val="none" w:color="auto" w:sz="0" w:space="0"/>
          <w:shd w:val="clear" w:fill="FFFEFF"/>
          <w:vertAlign w:val="baseline"/>
          <w:lang w:val="en-US" w:eastAsia="zh-CN" w:bidi="ar"/>
        </w:rPr>
        <w:t>（二）年龄在35周岁以下（1981年11月29 日以后出生）。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65"/>
        <w:jc w:val="left"/>
        <w:textAlignment w:val="baseline"/>
        <w:rPr>
          <w:rFonts w:hint="default" w:ascii="Arial" w:hAnsi="Arial" w:cs="Arial"/>
          <w:b w:val="0"/>
          <w:i w:val="0"/>
          <w:caps w:val="0"/>
          <w:color w:val="000000"/>
          <w:spacing w:val="0"/>
          <w:sz w:val="18"/>
          <w:szCs w:val="18"/>
        </w:rPr>
      </w:pPr>
      <w:r>
        <w:rPr>
          <w:rFonts w:hint="eastAsia" w:ascii="新宋体" w:hAnsi="新宋体" w:eastAsia="新宋体" w:cs="新宋体"/>
          <w:b w:val="0"/>
          <w:i w:val="0"/>
          <w:caps w:val="0"/>
          <w:color w:val="000000"/>
          <w:spacing w:val="0"/>
          <w:kern w:val="0"/>
          <w:sz w:val="24"/>
          <w:szCs w:val="24"/>
          <w:bdr w:val="none" w:color="auto" w:sz="0" w:space="0"/>
          <w:shd w:val="clear" w:fill="FFFEFF"/>
          <w:vertAlign w:val="baseline"/>
          <w:lang w:val="en-US" w:eastAsia="zh-CN" w:bidi="ar"/>
        </w:rPr>
        <w:t>（三）2018年全日制普通高校硕士研究生及以上学历的应届毕业生，毕业时须取得毕业证书和学位证书，本科阶段为全日制普通高校师范类专业。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65"/>
        <w:jc w:val="left"/>
        <w:textAlignment w:val="baseline"/>
        <w:rPr>
          <w:rFonts w:hint="default" w:ascii="Arial" w:hAnsi="Arial" w:cs="Arial"/>
          <w:b w:val="0"/>
          <w:i w:val="0"/>
          <w:caps w:val="0"/>
          <w:color w:val="000000"/>
          <w:spacing w:val="0"/>
          <w:sz w:val="18"/>
          <w:szCs w:val="18"/>
        </w:rPr>
      </w:pPr>
      <w:r>
        <w:rPr>
          <w:rFonts w:hint="eastAsia" w:ascii="新宋体" w:hAnsi="新宋体" w:eastAsia="新宋体" w:cs="新宋体"/>
          <w:b w:val="0"/>
          <w:i w:val="0"/>
          <w:caps w:val="0"/>
          <w:color w:val="000000"/>
          <w:spacing w:val="0"/>
          <w:kern w:val="0"/>
          <w:sz w:val="24"/>
          <w:szCs w:val="24"/>
          <w:bdr w:val="none" w:color="auto" w:sz="0" w:space="0"/>
          <w:shd w:val="clear" w:fill="FFFEFF"/>
          <w:vertAlign w:val="baseline"/>
          <w:lang w:val="en-US" w:eastAsia="zh-CN" w:bidi="ar"/>
        </w:rPr>
        <w:t>（四）2017年1月1日后毕业至今尚未就业的归国留学人员按2018年应届毕业生的资格条件报考。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65"/>
        <w:jc w:val="left"/>
        <w:textAlignment w:val="baseline"/>
        <w:rPr>
          <w:rFonts w:hint="default" w:ascii="Arial" w:hAnsi="Arial" w:cs="Arial"/>
          <w:b w:val="0"/>
          <w:i w:val="0"/>
          <w:caps w:val="0"/>
          <w:color w:val="000000"/>
          <w:spacing w:val="0"/>
          <w:sz w:val="18"/>
          <w:szCs w:val="18"/>
        </w:rPr>
      </w:pPr>
      <w:r>
        <w:rPr>
          <w:rFonts w:hint="eastAsia" w:ascii="新宋体" w:hAnsi="新宋体" w:eastAsia="新宋体" w:cs="新宋体"/>
          <w:b w:val="0"/>
          <w:i w:val="0"/>
          <w:caps w:val="0"/>
          <w:color w:val="000000"/>
          <w:spacing w:val="0"/>
          <w:kern w:val="0"/>
          <w:sz w:val="24"/>
          <w:szCs w:val="24"/>
          <w:bdr w:val="none" w:color="auto" w:sz="0" w:space="0"/>
          <w:shd w:val="clear" w:fill="FFFEFF"/>
          <w:vertAlign w:val="baseline"/>
          <w:lang w:val="en-US" w:eastAsia="zh-CN" w:bidi="ar"/>
        </w:rPr>
        <w:t>（五）应聘者毕业专业必须与报考学科限定专业一致。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65"/>
        <w:jc w:val="left"/>
        <w:textAlignment w:val="baseline"/>
        <w:rPr>
          <w:rFonts w:hint="default" w:ascii="Arial" w:hAnsi="Arial" w:cs="Arial"/>
          <w:b w:val="0"/>
          <w:i w:val="0"/>
          <w:caps w:val="0"/>
          <w:color w:val="000000"/>
          <w:spacing w:val="0"/>
          <w:sz w:val="18"/>
          <w:szCs w:val="18"/>
        </w:rPr>
      </w:pPr>
      <w:r>
        <w:rPr>
          <w:rFonts w:hint="eastAsia" w:ascii="新宋体" w:hAnsi="新宋体" w:eastAsia="新宋体" w:cs="新宋体"/>
          <w:b w:val="0"/>
          <w:i w:val="0"/>
          <w:caps w:val="0"/>
          <w:color w:val="000000"/>
          <w:spacing w:val="0"/>
          <w:kern w:val="0"/>
          <w:sz w:val="24"/>
          <w:szCs w:val="24"/>
          <w:bdr w:val="none" w:color="auto" w:sz="0" w:space="0"/>
          <w:shd w:val="clear" w:fill="FFFEFF"/>
          <w:vertAlign w:val="baseline"/>
          <w:lang w:val="en-US" w:eastAsia="zh-CN" w:bidi="ar"/>
        </w:rPr>
        <w:t>（六）普通话水平必须达到二级乙等及以上（报考语文学科的，必须达到二级甲等及以上）。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65"/>
        <w:jc w:val="left"/>
        <w:textAlignment w:val="baseline"/>
        <w:rPr>
          <w:rFonts w:hint="default" w:ascii="Arial" w:hAnsi="Arial" w:cs="Arial"/>
          <w:b w:val="0"/>
          <w:i w:val="0"/>
          <w:caps w:val="0"/>
          <w:color w:val="000000"/>
          <w:spacing w:val="0"/>
          <w:sz w:val="18"/>
          <w:szCs w:val="18"/>
        </w:rPr>
      </w:pPr>
      <w:r>
        <w:rPr>
          <w:rFonts w:hint="eastAsia" w:ascii="新宋体" w:hAnsi="新宋体" w:eastAsia="新宋体" w:cs="新宋体"/>
          <w:b w:val="0"/>
          <w:i w:val="0"/>
          <w:caps w:val="0"/>
          <w:color w:val="000000"/>
          <w:spacing w:val="0"/>
          <w:kern w:val="0"/>
          <w:sz w:val="24"/>
          <w:szCs w:val="24"/>
          <w:bdr w:val="none" w:color="auto" w:sz="0" w:space="0"/>
          <w:shd w:val="clear" w:fill="FFFEFF"/>
          <w:vertAlign w:val="baseline"/>
          <w:lang w:val="en-US" w:eastAsia="zh-CN" w:bidi="ar"/>
        </w:rPr>
        <w:t>（七）持有相应学科教师资格证书（最迟在2018年上半年取得）。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65"/>
        <w:jc w:val="left"/>
        <w:textAlignment w:val="baseline"/>
        <w:rPr>
          <w:rFonts w:hint="default" w:ascii="Arial" w:hAnsi="Arial" w:cs="Arial"/>
          <w:b w:val="0"/>
          <w:i w:val="0"/>
          <w:caps w:val="0"/>
          <w:color w:val="000000"/>
          <w:spacing w:val="0"/>
          <w:sz w:val="18"/>
          <w:szCs w:val="18"/>
        </w:rPr>
      </w:pPr>
      <w:r>
        <w:rPr>
          <w:rFonts w:hint="eastAsia" w:ascii="新宋体" w:hAnsi="新宋体" w:eastAsia="新宋体" w:cs="新宋体"/>
          <w:b w:val="0"/>
          <w:i w:val="0"/>
          <w:caps w:val="0"/>
          <w:color w:val="000000"/>
          <w:spacing w:val="0"/>
          <w:kern w:val="0"/>
          <w:sz w:val="24"/>
          <w:szCs w:val="24"/>
          <w:bdr w:val="none" w:color="auto" w:sz="0" w:space="0"/>
          <w:shd w:val="clear" w:fill="FFFEFF"/>
          <w:vertAlign w:val="baseline"/>
          <w:lang w:val="en-US" w:eastAsia="zh-CN" w:bidi="ar"/>
        </w:rPr>
        <w:t>（八）《</w:t>
      </w: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2018年太仓市教育系统公开招聘高层次人才岗位表</w:t>
      </w:r>
      <w:r>
        <w:rPr>
          <w:rFonts w:hint="eastAsia" w:ascii="新宋体" w:hAnsi="新宋体" w:eastAsia="新宋体" w:cs="新宋体"/>
          <w:b w:val="0"/>
          <w:i w:val="0"/>
          <w:caps w:val="0"/>
          <w:color w:val="000000"/>
          <w:spacing w:val="0"/>
          <w:kern w:val="0"/>
          <w:sz w:val="24"/>
          <w:szCs w:val="24"/>
          <w:bdr w:val="none" w:color="auto" w:sz="0" w:space="0"/>
          <w:shd w:val="clear" w:fill="FFFEFF"/>
          <w:vertAlign w:val="baseline"/>
          <w:lang w:val="en-US" w:eastAsia="zh-CN" w:bidi="ar"/>
        </w:rPr>
        <w:t>》中对招聘岗位学历学位、专业要求和其他资格条件另有规定的从其规定。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2"/>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三、招聘岗位、人数及条件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详见附件</w:t>
      </w:r>
      <w:r>
        <w:rPr>
          <w:rFonts w:hint="eastAsia" w:ascii="新宋体" w:hAnsi="新宋体" w:eastAsia="新宋体" w:cs="新宋体"/>
          <w:b w:val="0"/>
          <w:i w:val="0"/>
          <w:caps w:val="0"/>
          <w:color w:val="000000"/>
          <w:spacing w:val="0"/>
          <w:kern w:val="0"/>
          <w:sz w:val="24"/>
          <w:szCs w:val="24"/>
          <w:bdr w:val="none" w:color="auto" w:sz="0" w:space="0"/>
          <w:shd w:val="clear" w:fill="FFFEFF"/>
          <w:vertAlign w:val="baseline"/>
          <w:lang w:val="en-US" w:eastAsia="zh-CN" w:bidi="ar"/>
        </w:rPr>
        <w:t>《2018年太仓市教育系统公开招聘高层次人才岗位表》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2"/>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四、报名方式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本次报名采取网上信息采集和现场资格审核相结合的办法进行。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（一）网上信息采集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1.时间：2017年11月29日—12月3日8：30—16：30。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2.方式：报考者登录“2018年太仓市教师招聘信息采集系统”（</w:t>
      </w:r>
      <w:r>
        <w:rPr>
          <w:rFonts w:ascii="Calibri" w:hAnsi="Calibri" w:cs="Calibri" w:eastAsiaTheme="minorEastAsia"/>
          <w:b w:val="0"/>
          <w:i w:val="0"/>
          <w:caps w:val="0"/>
          <w:color w:val="000000"/>
          <w:spacing w:val="0"/>
          <w:kern w:val="0"/>
          <w:sz w:val="21"/>
          <w:szCs w:val="21"/>
          <w:bdr w:val="none" w:color="auto" w:sz="0" w:space="0"/>
          <w:shd w:val="clear" w:fill="FFFEFF"/>
          <w:vertAlign w:val="baseline"/>
          <w:lang w:val="en-US" w:eastAsia="zh-CN" w:bidi="ar"/>
        </w:rPr>
        <w:t> </w:t>
      </w:r>
      <w:r>
        <w:rPr>
          <w:rFonts w:hint="default" w:ascii="Arial" w:hAnsi="Arial" w:cs="Arial" w:eastAsiaTheme="minorEastAsia"/>
          <w:b w:val="0"/>
          <w:i w:val="0"/>
          <w:caps w:val="0"/>
          <w:color w:val="333333"/>
          <w:spacing w:val="0"/>
          <w:kern w:val="0"/>
          <w:sz w:val="18"/>
          <w:szCs w:val="18"/>
          <w:u w:val="none"/>
          <w:bdr w:val="none" w:color="auto" w:sz="0" w:space="0"/>
          <w:shd w:val="clear" w:fill="FFFEFF"/>
          <w:vertAlign w:val="baseline"/>
          <w:lang w:val="en-US" w:eastAsia="zh-CN" w:bidi="ar"/>
        </w:rPr>
        <w:fldChar w:fldCharType="begin"/>
      </w:r>
      <w:r>
        <w:rPr>
          <w:rFonts w:hint="default" w:ascii="Arial" w:hAnsi="Arial" w:cs="Arial" w:eastAsiaTheme="minorEastAsia"/>
          <w:b w:val="0"/>
          <w:i w:val="0"/>
          <w:caps w:val="0"/>
          <w:color w:val="333333"/>
          <w:spacing w:val="0"/>
          <w:kern w:val="0"/>
          <w:sz w:val="18"/>
          <w:szCs w:val="18"/>
          <w:u w:val="none"/>
          <w:bdr w:val="none" w:color="auto" w:sz="0" w:space="0"/>
          <w:shd w:val="clear" w:fill="FFFEFF"/>
          <w:vertAlign w:val="baseline"/>
          <w:lang w:val="en-US" w:eastAsia="zh-CN" w:bidi="ar"/>
        </w:rPr>
        <w:instrText xml:space="preserve"> HYPERLINK "http://www.tcedu.com.cn/col/col90001/index.html" </w:instrText>
      </w:r>
      <w:r>
        <w:rPr>
          <w:rFonts w:hint="default" w:ascii="Arial" w:hAnsi="Arial" w:cs="Arial" w:eastAsiaTheme="minorEastAsia"/>
          <w:b w:val="0"/>
          <w:i w:val="0"/>
          <w:caps w:val="0"/>
          <w:color w:val="333333"/>
          <w:spacing w:val="0"/>
          <w:kern w:val="0"/>
          <w:sz w:val="18"/>
          <w:szCs w:val="18"/>
          <w:u w:val="none"/>
          <w:bdr w:val="none" w:color="auto" w:sz="0" w:space="0"/>
          <w:shd w:val="clear" w:fill="FFFEFF"/>
          <w:vertAlign w:val="baseline"/>
          <w:lang w:val="en-US" w:eastAsia="zh-CN" w:bidi="ar"/>
        </w:rPr>
        <w:fldChar w:fldCharType="separate"/>
      </w:r>
      <w:r>
        <w:rPr>
          <w:rStyle w:val="12"/>
          <w:rFonts w:hint="eastAsia" w:ascii="宋体" w:hAnsi="宋体" w:eastAsia="宋体" w:cs="宋体"/>
          <w:b w:val="0"/>
          <w:i w:val="0"/>
          <w:caps w:val="0"/>
          <w:color w:val="0000FF"/>
          <w:spacing w:val="0"/>
          <w:sz w:val="24"/>
          <w:szCs w:val="24"/>
          <w:u w:val="single"/>
          <w:bdr w:val="none" w:color="auto" w:sz="0" w:space="0"/>
          <w:shd w:val="clear" w:fill="FFFEFF"/>
          <w:vertAlign w:val="baseline"/>
        </w:rPr>
        <w:t>http://www.tcedu.com.cn/col/col90001/index.html</w:t>
      </w:r>
      <w:r>
        <w:rPr>
          <w:rFonts w:hint="default" w:ascii="Arial" w:hAnsi="Arial" w:cs="Arial" w:eastAsiaTheme="minorEastAsia"/>
          <w:b w:val="0"/>
          <w:i w:val="0"/>
          <w:caps w:val="0"/>
          <w:color w:val="333333"/>
          <w:spacing w:val="0"/>
          <w:kern w:val="0"/>
          <w:sz w:val="18"/>
          <w:szCs w:val="18"/>
          <w:u w:val="none"/>
          <w:bdr w:val="none" w:color="auto" w:sz="0" w:space="0"/>
          <w:shd w:val="clear" w:fill="FFFEFF"/>
          <w:vertAlign w:val="baseline"/>
          <w:lang w:val="en-US" w:eastAsia="zh-CN" w:bidi="ar"/>
        </w:rPr>
        <w:fldChar w:fldCharType="end"/>
      </w: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首页链接），按照要求注册本人基本信息，并如实填写报考情况。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3.有关要求：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（1）实行按岗招聘的办法。本次招聘岗位见</w:t>
      </w:r>
      <w:r>
        <w:rPr>
          <w:rFonts w:hint="eastAsia" w:ascii="新宋体" w:hAnsi="新宋体" w:eastAsia="新宋体" w:cs="新宋体"/>
          <w:b w:val="0"/>
          <w:i w:val="0"/>
          <w:caps w:val="0"/>
          <w:color w:val="000000"/>
          <w:spacing w:val="0"/>
          <w:kern w:val="0"/>
          <w:sz w:val="24"/>
          <w:szCs w:val="24"/>
          <w:bdr w:val="none" w:color="auto" w:sz="0" w:space="0"/>
          <w:shd w:val="clear" w:fill="FFFEFF"/>
          <w:vertAlign w:val="baseline"/>
          <w:lang w:val="en-US" w:eastAsia="zh-CN" w:bidi="ar"/>
        </w:rPr>
        <w:t>《2018年太仓市教育系统公开招聘高层次人才岗位表》</w:t>
      </w: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。报考者只能选择其中一个岗位，选定后其面试在该岗位内进行，成绩仅在该岗位内有效，与其他岗位无关联。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（2）报考者应认真阅读本《简章》，并对照《岗位表》的要求，选择一个符合条件的岗位进行报名。网上信息采集时间截止之前，考生可以修改报考信息。网上信息采集时间截止之后，报考信息不得更改。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（3）报考者填写报名信息时，人员信息要与身份证、户口簿的基本信息一致，学习情况等信息要与毕业证书、毕业生就业推荐表、教师资格证等材料的信息一致。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（4）报考者应确保在信息采集时间截止前提交报考信息，因自身原因或个人网络问题未成功提交报考信息的，责任由报考者自负。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（5）报名截止后，太仓市教育局对报名者进行资格初审，通过审核者可登录“2018年太仓市教师招聘信息采集系统”打印报名表，并于现场资格审核时上交。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（二）现场资格审核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1. 南京师范大学考点、华东师范大学考点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（1）审核时间：2017年12月9日上午8：00—11：00。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（2）审核地点：南京师范大学考点：南京师范大学随园校区电教楼201；华东师范大学考点：华东师范大学（闵行校区）学生之家A210室。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 苏州大学考点、扬州大学考点、江苏师范大学考点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（1）审核时间：2017年12月14日上午8：00—11：00。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审核地点：苏州大学考点：苏州大学东校区文思楼602室；扬州大学考点：扬州大学文汇路校区（扬州市文汇东路48号）8号楼生物科学与技术学院二楼报告厅；江苏师范大学考点：江苏师范大学（泉山校区）23#C座102C教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 3. 审核程序：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（1）报名者信息确认：通过网上资格初审者自行网上打印报名表1份，并签字确认，在上述规定时间带至现场进行资格审核。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（2）报名资格审核：现场报名时，报名人员应提供下列材料的原件及复印件（验证原件交复印件）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2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EFF"/>
          <w:vertAlign w:val="baseline"/>
          <w:lang w:val="en-US" w:eastAsia="zh-CN" w:bidi="ar"/>
        </w:rPr>
        <w:t>①</w:t>
      </w: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本人身份证、户籍证明、教师资格证、本科阶段毕业证书和学位证书。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2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EFF"/>
          <w:vertAlign w:val="baseline"/>
          <w:lang w:val="en-US" w:eastAsia="zh-CN" w:bidi="ar"/>
        </w:rPr>
        <w:t>②</w:t>
      </w: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2018年全日制普通高校硕士研究生及以上学历的应届毕业生提供学生证、研究生在校期间所学课程成绩单及获奖证书、所在院校出具的《毕业生双向选择就业推荐表》、《普通高校毕业生就业书》（注：空白协议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2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EFF"/>
          <w:vertAlign w:val="baseline"/>
          <w:lang w:val="en-US" w:eastAsia="zh-CN" w:bidi="ar"/>
        </w:rPr>
        <w:t>③</w:t>
      </w: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委培、定向、联办的毕业生应提供委培、定向、联办单位出具的同意报考证明，并经所在院校同意。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（三）注意事项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1.本次招聘岗位开考比例详见《2018年太仓市教育系统公开招聘高层次人才岗位表》。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下列人员不得报考：（1）现役军人；（2）在读非应届的普通高校生；（3）被辞退未满5年的原机关、事业身份的工作人员；（4）在国家法定考试中被认定有舞弊等严重违反纪律行为人员；（5）法律规定不得聘用为事业单位工作人员的其它情形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3.凡报名者与招聘单位负责人或主管部门直接分管领导有夫妻关系、直系血亲关系、三代以内旁系血亲或者近姻亲关系的应当回避。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4.报名者须对照本《简章》规定的招聘岗位和招聘条件如实申报，所提供的应聘材料必须齐全且真实有效。在整个招聘过程中，报名者凡有弄虚作假或重复报名等违反本《简章》规定的行为一经查实，随时取消应聘和录取资格，责任由报名者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2"/>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五、招聘考试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招聘考试分为笔试、面试两个部分。笔试总分为100分，保留小数点后一位小数，第二位四舍五入。各学科笔试平均分高于或等于60分时以60分为合格分数线，各学科笔试平均分低于60分时以该平均分作为合格分数线（但不得低于50分）。面试根据招聘计划数，从笔试合格者中按照从高分到低分的顺序，以3:1的比例确定取得面试资格人选，不足3：1比例的，按实际符合条件人数确定进入面试人选，面试总分为100分，设60分为合格分数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招聘考试总分（100%）=笔试（按占比30%计）+面试（按占比70%计）。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招聘考试具体流程如下：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（一）领取笔试准考证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南京师范大学考点、华东师范大学考点：2017年12月9日上午。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苏州大学考点、扬州大学考点、江苏师范大学考点：2017年12月14日上午。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通过现场资格审核的报名者当场领取准考证。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（二）笔试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1.时间和地点：南京师范大学考点、华东师范大学考点初定为2017年12月9日（周六）下午；苏州大学考点、扬州大学考点、江苏师范大学考点初定为12月14日（周四）下午，具体时间和地点详见《准考证》。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2.笔试形式和内容：笔试采取闭卷形式，考试主要内容为教育教学基本知识（教育法律法规、方针政策、教育学、心理学、教材教法、课程改革、学生管理等）和相关学科内容。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3.笔试不指定考试辅导用书，不举办也不委托任何机构举办考试辅导培训班。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（三）领取面试资格证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参加笔试的考生可从2017年12月9日晚上（南京师范大学考点、华东师范大学考点）和2017年12月14日晚上（苏州大学考点、扬州大学考点、江苏师范大学考点）起登录网站（网址：</w:t>
      </w:r>
      <w:r>
        <w:rPr>
          <w:rFonts w:hint="default" w:ascii="Arial" w:hAnsi="Arial" w:cs="Arial" w:eastAsiaTheme="minorEastAsia"/>
          <w:b w:val="0"/>
          <w:i w:val="0"/>
          <w:caps w:val="0"/>
          <w:color w:val="333333"/>
          <w:spacing w:val="0"/>
          <w:kern w:val="0"/>
          <w:sz w:val="18"/>
          <w:szCs w:val="18"/>
          <w:u w:val="none"/>
          <w:bdr w:val="none" w:color="auto" w:sz="0" w:space="0"/>
          <w:shd w:val="clear" w:fill="FFFEFF"/>
          <w:vertAlign w:val="baseline"/>
          <w:lang w:val="en-US" w:eastAsia="zh-CN" w:bidi="ar"/>
        </w:rPr>
        <w:fldChar w:fldCharType="begin"/>
      </w:r>
      <w:r>
        <w:rPr>
          <w:rFonts w:hint="default" w:ascii="Arial" w:hAnsi="Arial" w:cs="Arial" w:eastAsiaTheme="minorEastAsia"/>
          <w:b w:val="0"/>
          <w:i w:val="0"/>
          <w:caps w:val="0"/>
          <w:color w:val="333333"/>
          <w:spacing w:val="0"/>
          <w:kern w:val="0"/>
          <w:sz w:val="18"/>
          <w:szCs w:val="18"/>
          <w:u w:val="none"/>
          <w:bdr w:val="none" w:color="auto" w:sz="0" w:space="0"/>
          <w:shd w:val="clear" w:fill="FFFEFF"/>
          <w:vertAlign w:val="baseline"/>
          <w:lang w:val="en-US" w:eastAsia="zh-CN" w:bidi="ar"/>
        </w:rPr>
        <w:instrText xml:space="preserve"> HYPERLINK "http://www.tcedu.com.cn/col/col90001/index.html" </w:instrText>
      </w:r>
      <w:r>
        <w:rPr>
          <w:rFonts w:hint="default" w:ascii="Arial" w:hAnsi="Arial" w:cs="Arial" w:eastAsiaTheme="minorEastAsia"/>
          <w:b w:val="0"/>
          <w:i w:val="0"/>
          <w:caps w:val="0"/>
          <w:color w:val="333333"/>
          <w:spacing w:val="0"/>
          <w:kern w:val="0"/>
          <w:sz w:val="18"/>
          <w:szCs w:val="18"/>
          <w:u w:val="none"/>
          <w:bdr w:val="none" w:color="auto" w:sz="0" w:space="0"/>
          <w:shd w:val="clear" w:fill="FFFEFF"/>
          <w:vertAlign w:val="baseline"/>
          <w:lang w:val="en-US" w:eastAsia="zh-CN" w:bidi="ar"/>
        </w:rPr>
        <w:fldChar w:fldCharType="separate"/>
      </w:r>
      <w:r>
        <w:rPr>
          <w:rStyle w:val="12"/>
          <w:rFonts w:hint="eastAsia" w:ascii="宋体" w:hAnsi="宋体" w:eastAsia="宋体" w:cs="宋体"/>
          <w:b w:val="0"/>
          <w:i w:val="0"/>
          <w:caps w:val="0"/>
          <w:color w:val="0000FF"/>
          <w:spacing w:val="0"/>
          <w:sz w:val="24"/>
          <w:szCs w:val="24"/>
          <w:u w:val="single"/>
          <w:bdr w:val="none" w:color="auto" w:sz="0" w:space="0"/>
          <w:shd w:val="clear" w:fill="FFFEFF"/>
          <w:vertAlign w:val="baseline"/>
        </w:rPr>
        <w:t>http://www.tcedu.com.cn/col/col90001/index.html</w:t>
      </w:r>
      <w:r>
        <w:rPr>
          <w:rFonts w:hint="default" w:ascii="Arial" w:hAnsi="Arial" w:cs="Arial" w:eastAsiaTheme="minorEastAsia"/>
          <w:b w:val="0"/>
          <w:i w:val="0"/>
          <w:caps w:val="0"/>
          <w:color w:val="333333"/>
          <w:spacing w:val="0"/>
          <w:kern w:val="0"/>
          <w:sz w:val="18"/>
          <w:szCs w:val="18"/>
          <w:u w:val="none"/>
          <w:bdr w:val="none" w:color="auto" w:sz="0" w:space="0"/>
          <w:shd w:val="clear" w:fill="FFFEFF"/>
          <w:vertAlign w:val="baseline"/>
          <w:lang w:val="en-US" w:eastAsia="zh-CN" w:bidi="ar"/>
        </w:rPr>
        <w:fldChar w:fldCharType="end"/>
      </w: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查阅成绩及参加面试人员名单。取得面试资格者于2017年12月10日上午8：00—9：00（南京师范大学考点、华东师范大学考点）和2017年12月15日上午8：00—9：00（苏州大学考点、扬州大学考点、江苏师范大学考点）领取面试资格证（代领者凭本人身份证、考生身份证和笔试准考证原件领取，复印无效），地点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（四）面试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1.时间和地点：南京师范大学考点、华东师范大学考点初定为2017年12月10日（周日）上午，苏州大学考点、扬州大学考点、江苏师范大学考点初定为2017年12月15日（周五）上午，具体时间地点以面试通知为准。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2.面试形式：面试以考察拟任学科岗位所需的专业技术能力为主，以试讲为主。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3.面试总分：面试分数以百分制计，保留小数点后二位小数，第三位四舍五入。设60分为合格分数线。面试成绩当场公布。如考试总成绩相同，以面试成绩高者在前。如笔试成绩、面试成绩和考试总成绩均相同的，则由主管部门另行安排加试，然后根据加试成绩排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六、体检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进入体检的人选在面试成绩合格分数线以上人员中按招聘考试总成绩从高分到低分的顺序根据招聘计划人数1：1的比例确定。参加体检人员在规定时间内到用人单位指定的医疗机构进行体检。具体时间、地点另行通知。体检费用由应聘人员自理。体检项目和标准参照修订后的《公务员录用体检通用标准（试行）》执行。不合格者不得录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72"/>
        <w:jc w:val="left"/>
        <w:textAlignment w:val="baseline"/>
        <w:rPr>
          <w:rFonts w:hint="default" w:ascii="Arial" w:hAnsi="Arial" w:cs="Arial"/>
          <w:b w:val="0"/>
          <w:i w:val="0"/>
          <w:caps w:val="0"/>
          <w:color w:val="000000"/>
          <w:spacing w:val="0"/>
          <w:sz w:val="18"/>
          <w:szCs w:val="18"/>
        </w:rPr>
      </w:pPr>
      <w:r>
        <w:rPr>
          <w:rFonts w:hint="eastAsia" w:ascii="新宋体" w:hAnsi="新宋体" w:eastAsia="新宋体" w:cs="新宋体"/>
          <w:b/>
          <w:i w:val="0"/>
          <w:caps w:val="0"/>
          <w:color w:val="000000"/>
          <w:spacing w:val="0"/>
          <w:kern w:val="0"/>
          <w:sz w:val="18"/>
          <w:szCs w:val="18"/>
          <w:bdr w:val="none" w:color="auto" w:sz="0" w:space="0"/>
          <w:shd w:val="clear" w:fill="FFFEFF"/>
          <w:vertAlign w:val="baseline"/>
          <w:lang w:val="en-US" w:eastAsia="zh-CN" w:bidi="ar"/>
        </w:rPr>
        <w:t>七、资格复查和考核（考察）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招聘单位对通过考试并且体检合格的应聘人员进行聘用考察和资格条件复查，考察和资格条件复查时间原则上不得超过15日。确因情况特殊，经主管部门批准可延长至30日。对不符合《简章》规定的本次公开招聘的基本条件及招聘岗位所需专业、技能等资格条件的人员，取消其录取资格。聘用考察（考核）标准参照苏州市公务员招录考察相关要求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对考察（考核）不合格人员，招聘单位应将不合格的理由书面通知考生。考生如对考核结果有异议的，可以自接到通知之日起15日内向招聘单位提出申请复核，招聘单位应当接受复核申请，并须30日之内给予书面答复。对复核结果不服的，可自接到复核通知之日起15日内向招聘单位主管部门提出复核申请，经招聘单位主管部门复核无异议后，报市人社局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在招聘单位申报录取和聘用手续前，因考生体检、考察和资格复查不合格以及因自动放弃录取资格而出现缺额时，经招聘单位申请，主管部门同意，报市人社局审批，可在报考同一岗位的人员中按考试总成绩从高分到低分的顺序进行一次性递补，也可以决定不递补。录用后（录取通知书开出之日起）放弃录用资格的，不再递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72"/>
        <w:jc w:val="left"/>
        <w:textAlignment w:val="baseline"/>
        <w:rPr>
          <w:rFonts w:hint="default" w:ascii="Arial" w:hAnsi="Arial" w:cs="Arial"/>
          <w:b w:val="0"/>
          <w:i w:val="0"/>
          <w:caps w:val="0"/>
          <w:color w:val="000000"/>
          <w:spacing w:val="0"/>
          <w:sz w:val="18"/>
          <w:szCs w:val="18"/>
        </w:rPr>
      </w:pPr>
      <w:r>
        <w:rPr>
          <w:rFonts w:hint="eastAsia" w:ascii="新宋体" w:hAnsi="新宋体" w:eastAsia="新宋体" w:cs="新宋体"/>
          <w:b/>
          <w:i w:val="0"/>
          <w:caps w:val="0"/>
          <w:color w:val="000000"/>
          <w:spacing w:val="0"/>
          <w:kern w:val="0"/>
          <w:sz w:val="18"/>
          <w:szCs w:val="18"/>
          <w:bdr w:val="none" w:color="auto" w:sz="0" w:space="0"/>
          <w:shd w:val="clear" w:fill="FFFEFF"/>
          <w:vertAlign w:val="baseline"/>
          <w:lang w:val="en-US" w:eastAsia="zh-CN" w:bidi="ar"/>
        </w:rPr>
        <w:t>八、录取和聘用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各招聘岗位拟录取人员名单，由教育局公示，时间不少于7个工作日。经公示无异议，有关聘用材料经教育局审核同意后报太仓市人力资源和社会保障局审批并办理录取或签约、鉴证的相关手续。对不符合《简章》规定的本次公开招聘的基本条件及招聘岗位所需专业、技能条件等资格条件的人员，取消其录取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录取人员应在规定时间内与教育局签订《聘用合同》或《毕业生双向选择就业协议书》。因应聘人员个人原因逾期未办理录取或签约、鉴证相关手续的，取消其录取资格。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经面试、体检、考核合格的，由教育局统一预分配至本市普通高中各学校，录用人员实行一年见习期。见习期考核不合格的，解除聘用关系，自谋职业。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0" w:afterAutospacing="0" w:line="400" w:lineRule="atLeast"/>
        <w:ind w:left="0" w:right="0" w:firstLine="420"/>
        <w:jc w:val="left"/>
        <w:textAlignment w:val="baseline"/>
        <w:rPr>
          <w:rFonts w:hint="default" w:ascii="Arial" w:hAnsi="Arial" w:cs="Arial"/>
          <w:b w:val="0"/>
          <w:i w:val="0"/>
          <w:caps w:val="0"/>
          <w:color w:val="000000"/>
          <w:spacing w:val="0"/>
          <w:sz w:val="18"/>
          <w:szCs w:val="18"/>
        </w:rPr>
      </w:pPr>
      <w:r>
        <w:rPr>
          <w:rFonts w:hint="eastAsia" w:ascii="新宋体" w:hAnsi="新宋体" w:eastAsia="新宋体" w:cs="新宋体"/>
          <w:b/>
          <w:i w:val="0"/>
          <w:caps w:val="0"/>
          <w:color w:val="000000"/>
          <w:spacing w:val="0"/>
          <w:kern w:val="0"/>
          <w:sz w:val="18"/>
          <w:szCs w:val="18"/>
          <w:bdr w:val="none" w:color="auto" w:sz="0" w:space="0"/>
          <w:shd w:val="clear" w:fill="FFFEFF"/>
          <w:vertAlign w:val="baseline"/>
          <w:lang w:val="en-US" w:eastAsia="zh-CN" w:bidi="ar"/>
        </w:rPr>
        <w:t>　  九、纪律与监督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事业单位公开招聘工作人员的工作坚持“公开、平等、竞争、择优”的原则，自觉接受纪检监察部门和社会公众的监督。对单位和个人违反招聘规程一经查实的，按国家、省、市关于事业单位公开招聘工作中纪律与监督的有关规定处理。为方便群众和社会监督，杜绝不正之风，特设监督举报电话：0512-53521537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EFF"/>
          <w:vertAlign w:val="baseline"/>
          <w:lang w:val="en-US" w:eastAsia="zh-CN" w:bidi="ar"/>
        </w:rPr>
        <w:t>十、本《简章》由太仓市教育局负责解释。咨询电话：0512-53531169。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附：《2018年太仓市教育系统公开招聘高层次人才岗位表》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righ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太仓市教育局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7FCFF"/>
        <w:spacing w:before="0" w:beforeAutospacing="0" w:after="225" w:afterAutospacing="0" w:line="400" w:lineRule="atLeast"/>
        <w:ind w:left="0" w:right="0" w:firstLine="480"/>
        <w:jc w:val="center"/>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7FCFF"/>
          <w:vertAlign w:val="baseline"/>
          <w:lang w:val="en-US" w:eastAsia="zh-CN" w:bidi="ar"/>
        </w:rPr>
        <w:t>                        2017年11月15日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40" w:lineRule="atLeast"/>
        <w:ind w:left="0" w:right="0" w:firstLine="48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20"/>
        <w:jc w:val="left"/>
        <w:textAlignment w:val="baseline"/>
        <w:rPr>
          <w:rFonts w:hint="default" w:ascii="Arial" w:hAnsi="Arial" w:cs="Arial"/>
          <w:b w:val="0"/>
          <w:i w:val="0"/>
          <w:caps w:val="0"/>
          <w:color w:val="000000"/>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E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20"/>
        <w:jc w:val="left"/>
        <w:textAlignment w:val="baseline"/>
        <w:rPr>
          <w:rFonts w:hint="default" w:ascii="Arial" w:hAnsi="Arial" w:cs="Arial"/>
          <w:b w:val="0"/>
          <w:i w:val="0"/>
          <w:caps w:val="0"/>
          <w:color w:val="000000"/>
          <w:spacing w:val="0"/>
          <w:sz w:val="18"/>
          <w:szCs w:val="18"/>
        </w:rPr>
      </w:pPr>
      <w:r>
        <w:rPr>
          <w:rFonts w:ascii="方正小标宋简体" w:hAnsi="方正小标宋简体" w:eastAsia="方正小标宋简体" w:cs="方正小标宋简体"/>
          <w:b w:val="0"/>
          <w:i w:val="0"/>
          <w:caps w:val="0"/>
          <w:color w:val="000000"/>
          <w:spacing w:val="0"/>
          <w:kern w:val="0"/>
          <w:sz w:val="28"/>
          <w:szCs w:val="28"/>
          <w:bdr w:val="none" w:color="auto" w:sz="0" w:space="0"/>
          <w:shd w:val="clear" w:fill="FFFEFF"/>
          <w:vertAlign w:val="baseline"/>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EFF"/>
        <w:spacing w:before="0" w:beforeAutospacing="0" w:after="225" w:afterAutospacing="0" w:line="400" w:lineRule="atLeast"/>
        <w:ind w:left="0" w:right="0" w:firstLine="420"/>
        <w:jc w:val="center"/>
        <w:textAlignment w:val="baseline"/>
        <w:rPr>
          <w:rFonts w:hint="default" w:ascii="Arial" w:hAnsi="Arial" w:cs="Arial"/>
          <w:b w:val="0"/>
          <w:i w:val="0"/>
          <w:caps w:val="0"/>
          <w:color w:val="000000"/>
          <w:spacing w:val="0"/>
          <w:sz w:val="18"/>
          <w:szCs w:val="18"/>
        </w:rPr>
      </w:pPr>
      <w:r>
        <w:rPr>
          <w:rFonts w:hint="eastAsia" w:ascii="方正小标宋简体" w:hAnsi="方正小标宋简体" w:eastAsia="方正小标宋简体" w:cs="方正小标宋简体"/>
          <w:b w:val="0"/>
          <w:i w:val="0"/>
          <w:caps w:val="0"/>
          <w:color w:val="000000"/>
          <w:spacing w:val="0"/>
          <w:kern w:val="0"/>
          <w:sz w:val="32"/>
          <w:szCs w:val="32"/>
          <w:bdr w:val="none" w:color="auto" w:sz="0" w:space="0"/>
          <w:shd w:val="clear" w:fill="FFFEFF"/>
          <w:vertAlign w:val="baseline"/>
          <w:lang w:val="en-US" w:eastAsia="zh-CN" w:bidi="ar"/>
        </w:rPr>
        <w:t>2018年太仓市教育系统公开招聘高层次人才岗位表</w:t>
      </w:r>
    </w:p>
    <w:tbl>
      <w:tblPr>
        <w:tblW w:w="8505" w:type="dxa"/>
        <w:jc w:val="center"/>
        <w:tblInd w:w="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EFF"/>
        <w:tblLayout w:type="fixed"/>
        <w:tblCellMar>
          <w:top w:w="0" w:type="dxa"/>
          <w:left w:w="0" w:type="dxa"/>
          <w:bottom w:w="0" w:type="dxa"/>
          <w:right w:w="0" w:type="dxa"/>
        </w:tblCellMar>
      </w:tblPr>
      <w:tblGrid>
        <w:gridCol w:w="848"/>
        <w:gridCol w:w="1414"/>
        <w:gridCol w:w="1163"/>
        <w:gridCol w:w="953"/>
        <w:gridCol w:w="848"/>
        <w:gridCol w:w="850"/>
        <w:gridCol w:w="24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EFF"/>
          <w:tblLayout w:type="fixed"/>
          <w:tblCellMar>
            <w:top w:w="0" w:type="dxa"/>
            <w:left w:w="0" w:type="dxa"/>
            <w:bottom w:w="0" w:type="dxa"/>
            <w:right w:w="0" w:type="dxa"/>
          </w:tblCellMar>
        </w:tblPrEx>
        <w:trPr>
          <w:cantSplit/>
          <w:jc w:val="center"/>
        </w:trPr>
        <w:tc>
          <w:tcPr>
            <w:tcW w:w="848" w:type="dxa"/>
            <w:tcBorders>
              <w:top w:val="single" w:color="auto" w:sz="8" w:space="0"/>
              <w:left w:val="single" w:color="auto" w:sz="8" w:space="0"/>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20"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20"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地点</w:t>
            </w:r>
          </w:p>
        </w:tc>
        <w:tc>
          <w:tcPr>
            <w:tcW w:w="1414" w:type="dxa"/>
            <w:tcBorders>
              <w:top w:val="single" w:color="auto" w:sz="8" w:space="0"/>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20"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岗位名称</w:t>
            </w:r>
          </w:p>
        </w:tc>
        <w:tc>
          <w:tcPr>
            <w:tcW w:w="1163" w:type="dxa"/>
            <w:tcBorders>
              <w:top w:val="single" w:color="auto" w:sz="8" w:space="0"/>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20"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用人   方式</w:t>
            </w:r>
          </w:p>
        </w:tc>
        <w:tc>
          <w:tcPr>
            <w:tcW w:w="953" w:type="dxa"/>
            <w:tcBorders>
              <w:top w:val="single" w:color="auto" w:sz="8" w:space="0"/>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20"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开考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20"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比例</w:t>
            </w:r>
          </w:p>
        </w:tc>
        <w:tc>
          <w:tcPr>
            <w:tcW w:w="848" w:type="dxa"/>
            <w:tcBorders>
              <w:top w:val="single" w:color="auto" w:sz="8" w:space="0"/>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20"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20"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人数</w:t>
            </w:r>
          </w:p>
        </w:tc>
        <w:tc>
          <w:tcPr>
            <w:tcW w:w="850" w:type="dxa"/>
            <w:tcBorders>
              <w:top w:val="single" w:color="auto" w:sz="8" w:space="0"/>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20"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20"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要求</w:t>
            </w:r>
          </w:p>
        </w:tc>
        <w:tc>
          <w:tcPr>
            <w:tcW w:w="2429" w:type="dxa"/>
            <w:tcBorders>
              <w:top w:val="single" w:color="auto" w:sz="8" w:space="0"/>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20"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学历要求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80" w:hRule="atLeast"/>
          <w:jc w:val="center"/>
        </w:trPr>
        <w:tc>
          <w:tcPr>
            <w:tcW w:w="848" w:type="dxa"/>
            <w:vMerge w:val="restart"/>
            <w:tcBorders>
              <w:top w:val="nil"/>
              <w:left w:val="single" w:color="auto" w:sz="8" w:space="0"/>
              <w:bottom w:val="nil"/>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南京师范大学考点</w:t>
            </w:r>
          </w:p>
        </w:tc>
        <w:tc>
          <w:tcPr>
            <w:tcW w:w="1414"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高中语文教师</w:t>
            </w:r>
          </w:p>
        </w:tc>
        <w:tc>
          <w:tcPr>
            <w:tcW w:w="116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事业编制</w:t>
            </w:r>
          </w:p>
        </w:tc>
        <w:tc>
          <w:tcPr>
            <w:tcW w:w="95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1:2</w:t>
            </w:r>
          </w:p>
        </w:tc>
        <w:tc>
          <w:tcPr>
            <w:tcW w:w="848"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4</w:t>
            </w:r>
          </w:p>
        </w:tc>
        <w:tc>
          <w:tcPr>
            <w:tcW w:w="850"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中文类</w:t>
            </w:r>
          </w:p>
        </w:tc>
        <w:tc>
          <w:tcPr>
            <w:tcW w:w="2429"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全日制普通高校硕士研究生及以上，且</w:t>
            </w:r>
            <w:r>
              <w:rPr>
                <w:rFonts w:hint="eastAsia" w:ascii="新宋体" w:hAnsi="新宋体" w:eastAsia="新宋体" w:cs="新宋体"/>
                <w:b w:val="0"/>
                <w:i w:val="0"/>
                <w:caps w:val="0"/>
                <w:color w:val="000000"/>
                <w:spacing w:val="0"/>
                <w:kern w:val="0"/>
                <w:sz w:val="18"/>
                <w:szCs w:val="18"/>
                <w:bdr w:val="none" w:color="auto" w:sz="0" w:space="0"/>
                <w:vertAlign w:val="baseline"/>
                <w:lang w:val="en-US" w:eastAsia="zh-CN" w:bidi="ar"/>
              </w:rPr>
              <w:t>本科阶段为全日制师范类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EFF"/>
          <w:tblLayout w:type="fixed"/>
          <w:tblCellMar>
            <w:top w:w="0" w:type="dxa"/>
            <w:left w:w="0" w:type="dxa"/>
            <w:bottom w:w="0" w:type="dxa"/>
            <w:right w:w="0" w:type="dxa"/>
          </w:tblCellMar>
        </w:tblPrEx>
        <w:trPr>
          <w:cantSplit/>
          <w:trHeight w:val="680" w:hRule="atLeast"/>
          <w:jc w:val="center"/>
        </w:trPr>
        <w:tc>
          <w:tcPr>
            <w:tcW w:w="848" w:type="dxa"/>
            <w:vMerge w:val="continue"/>
            <w:tcBorders>
              <w:top w:val="nil"/>
              <w:left w:val="single" w:color="auto" w:sz="8" w:space="0"/>
              <w:bottom w:val="nil"/>
              <w:right w:val="single" w:color="auto" w:sz="8" w:space="0"/>
            </w:tcBorders>
            <w:shd w:val="clear" w:color="auto" w:fill="FFFEFF"/>
            <w:tcMar>
              <w:left w:w="108" w:type="dxa"/>
              <w:right w:w="108" w:type="dxa"/>
            </w:tcMar>
            <w:vAlign w:val="top"/>
          </w:tcPr>
          <w:p>
            <w:pPr>
              <w:rPr>
                <w:rFonts w:hint="default" w:ascii="Arial" w:hAnsi="Arial" w:cs="Arial"/>
                <w:b w:val="0"/>
                <w:i w:val="0"/>
                <w:caps w:val="0"/>
                <w:color w:val="000000"/>
                <w:spacing w:val="0"/>
                <w:sz w:val="18"/>
                <w:szCs w:val="18"/>
                <w:vertAlign w:val="baseline"/>
              </w:rPr>
            </w:pPr>
          </w:p>
        </w:tc>
        <w:tc>
          <w:tcPr>
            <w:tcW w:w="1414"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高中数学教师</w:t>
            </w:r>
          </w:p>
        </w:tc>
        <w:tc>
          <w:tcPr>
            <w:tcW w:w="116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事业编制</w:t>
            </w:r>
          </w:p>
        </w:tc>
        <w:tc>
          <w:tcPr>
            <w:tcW w:w="95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1:2</w:t>
            </w:r>
          </w:p>
        </w:tc>
        <w:tc>
          <w:tcPr>
            <w:tcW w:w="848"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2</w:t>
            </w:r>
          </w:p>
        </w:tc>
        <w:tc>
          <w:tcPr>
            <w:tcW w:w="850"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数学类</w:t>
            </w:r>
          </w:p>
        </w:tc>
        <w:tc>
          <w:tcPr>
            <w:tcW w:w="2429"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全日制普通高校硕士研究生及以上，且</w:t>
            </w:r>
            <w:r>
              <w:rPr>
                <w:rFonts w:hint="eastAsia" w:ascii="新宋体" w:hAnsi="新宋体" w:eastAsia="新宋体" w:cs="新宋体"/>
                <w:b w:val="0"/>
                <w:i w:val="0"/>
                <w:caps w:val="0"/>
                <w:color w:val="000000"/>
                <w:spacing w:val="0"/>
                <w:kern w:val="0"/>
                <w:sz w:val="18"/>
                <w:szCs w:val="18"/>
                <w:bdr w:val="none" w:color="auto" w:sz="0" w:space="0"/>
                <w:vertAlign w:val="baseline"/>
                <w:lang w:val="en-US" w:eastAsia="zh-CN" w:bidi="ar"/>
              </w:rPr>
              <w:t>本科阶段为全日制师范类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EFF"/>
          <w:tblLayout w:type="fixed"/>
          <w:tblCellMar>
            <w:top w:w="0" w:type="dxa"/>
            <w:left w:w="0" w:type="dxa"/>
            <w:bottom w:w="0" w:type="dxa"/>
            <w:right w:w="0" w:type="dxa"/>
          </w:tblCellMar>
        </w:tblPrEx>
        <w:trPr>
          <w:cantSplit/>
          <w:trHeight w:val="680" w:hRule="atLeast"/>
          <w:jc w:val="center"/>
        </w:trPr>
        <w:tc>
          <w:tcPr>
            <w:tcW w:w="848" w:type="dxa"/>
            <w:vMerge w:val="continue"/>
            <w:tcBorders>
              <w:top w:val="nil"/>
              <w:left w:val="single" w:color="auto" w:sz="8" w:space="0"/>
              <w:bottom w:val="nil"/>
              <w:right w:val="single" w:color="auto" w:sz="8" w:space="0"/>
            </w:tcBorders>
            <w:shd w:val="clear" w:color="auto" w:fill="FFFEFF"/>
            <w:tcMar>
              <w:left w:w="108" w:type="dxa"/>
              <w:right w:w="108" w:type="dxa"/>
            </w:tcMar>
            <w:vAlign w:val="top"/>
          </w:tcPr>
          <w:p>
            <w:pPr>
              <w:rPr>
                <w:rFonts w:hint="default" w:ascii="Arial" w:hAnsi="Arial" w:cs="Arial"/>
                <w:b w:val="0"/>
                <w:i w:val="0"/>
                <w:caps w:val="0"/>
                <w:color w:val="000000"/>
                <w:spacing w:val="0"/>
                <w:sz w:val="18"/>
                <w:szCs w:val="18"/>
                <w:vertAlign w:val="baseline"/>
              </w:rPr>
            </w:pPr>
          </w:p>
        </w:tc>
        <w:tc>
          <w:tcPr>
            <w:tcW w:w="1414"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高中英语教师</w:t>
            </w:r>
          </w:p>
        </w:tc>
        <w:tc>
          <w:tcPr>
            <w:tcW w:w="116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事业编制</w:t>
            </w:r>
          </w:p>
        </w:tc>
        <w:tc>
          <w:tcPr>
            <w:tcW w:w="95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1:2</w:t>
            </w:r>
          </w:p>
        </w:tc>
        <w:tc>
          <w:tcPr>
            <w:tcW w:w="848"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2</w:t>
            </w:r>
          </w:p>
        </w:tc>
        <w:tc>
          <w:tcPr>
            <w:tcW w:w="850"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英语类</w:t>
            </w:r>
          </w:p>
        </w:tc>
        <w:tc>
          <w:tcPr>
            <w:tcW w:w="2429"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全日制普通高校硕士研究生及以上，且</w:t>
            </w:r>
            <w:r>
              <w:rPr>
                <w:rFonts w:hint="eastAsia" w:ascii="新宋体" w:hAnsi="新宋体" w:eastAsia="新宋体" w:cs="新宋体"/>
                <w:b w:val="0"/>
                <w:i w:val="0"/>
                <w:caps w:val="0"/>
                <w:color w:val="000000"/>
                <w:spacing w:val="0"/>
                <w:kern w:val="0"/>
                <w:sz w:val="18"/>
                <w:szCs w:val="18"/>
                <w:bdr w:val="none" w:color="auto" w:sz="0" w:space="0"/>
                <w:vertAlign w:val="baseline"/>
                <w:lang w:val="en-US" w:eastAsia="zh-CN" w:bidi="ar"/>
              </w:rPr>
              <w:t>本科阶段为全日制师范类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80" w:hRule="atLeast"/>
          <w:jc w:val="center"/>
        </w:trPr>
        <w:tc>
          <w:tcPr>
            <w:tcW w:w="848" w:type="dxa"/>
            <w:vMerge w:val="continue"/>
            <w:tcBorders>
              <w:top w:val="nil"/>
              <w:left w:val="single" w:color="auto" w:sz="8" w:space="0"/>
              <w:bottom w:val="nil"/>
              <w:right w:val="single" w:color="auto" w:sz="8" w:space="0"/>
            </w:tcBorders>
            <w:shd w:val="clear" w:color="auto" w:fill="FFFEFF"/>
            <w:tcMar>
              <w:left w:w="108" w:type="dxa"/>
              <w:right w:w="108" w:type="dxa"/>
            </w:tcMar>
            <w:vAlign w:val="top"/>
          </w:tcPr>
          <w:p>
            <w:pPr>
              <w:rPr>
                <w:rFonts w:hint="default" w:ascii="Arial" w:hAnsi="Arial" w:cs="Arial"/>
                <w:b w:val="0"/>
                <w:i w:val="0"/>
                <w:caps w:val="0"/>
                <w:color w:val="000000"/>
                <w:spacing w:val="0"/>
                <w:sz w:val="18"/>
                <w:szCs w:val="18"/>
                <w:vertAlign w:val="baseline"/>
              </w:rPr>
            </w:pPr>
          </w:p>
        </w:tc>
        <w:tc>
          <w:tcPr>
            <w:tcW w:w="1414"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高中政治教师</w:t>
            </w:r>
          </w:p>
        </w:tc>
        <w:tc>
          <w:tcPr>
            <w:tcW w:w="116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事业编制</w:t>
            </w:r>
          </w:p>
        </w:tc>
        <w:tc>
          <w:tcPr>
            <w:tcW w:w="95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1:2</w:t>
            </w:r>
          </w:p>
        </w:tc>
        <w:tc>
          <w:tcPr>
            <w:tcW w:w="848"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2</w:t>
            </w:r>
          </w:p>
        </w:tc>
        <w:tc>
          <w:tcPr>
            <w:tcW w:w="850"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政治类</w:t>
            </w:r>
          </w:p>
        </w:tc>
        <w:tc>
          <w:tcPr>
            <w:tcW w:w="2429"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全日制普通高校硕士研究生及以上，且</w:t>
            </w:r>
            <w:r>
              <w:rPr>
                <w:rFonts w:hint="eastAsia" w:ascii="新宋体" w:hAnsi="新宋体" w:eastAsia="新宋体" w:cs="新宋体"/>
                <w:b w:val="0"/>
                <w:i w:val="0"/>
                <w:caps w:val="0"/>
                <w:color w:val="000000"/>
                <w:spacing w:val="0"/>
                <w:kern w:val="0"/>
                <w:sz w:val="18"/>
                <w:szCs w:val="18"/>
                <w:bdr w:val="none" w:color="auto" w:sz="0" w:space="0"/>
                <w:vertAlign w:val="baseline"/>
                <w:lang w:val="en-US" w:eastAsia="zh-CN" w:bidi="ar"/>
              </w:rPr>
              <w:t>本科阶段为全日制师范类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EFF"/>
          <w:tblLayout w:type="fixed"/>
          <w:tblCellMar>
            <w:top w:w="0" w:type="dxa"/>
            <w:left w:w="0" w:type="dxa"/>
            <w:bottom w:w="0" w:type="dxa"/>
            <w:right w:w="0" w:type="dxa"/>
          </w:tblCellMar>
        </w:tblPrEx>
        <w:trPr>
          <w:cantSplit/>
          <w:trHeight w:val="680" w:hRule="atLeast"/>
          <w:jc w:val="center"/>
        </w:trPr>
        <w:tc>
          <w:tcPr>
            <w:tcW w:w="848" w:type="dxa"/>
            <w:vMerge w:val="restart"/>
            <w:tcBorders>
              <w:top w:val="nil"/>
              <w:left w:val="single" w:color="auto" w:sz="8" w:space="0"/>
              <w:bottom w:val="nil"/>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华东师范大学考点</w:t>
            </w:r>
          </w:p>
        </w:tc>
        <w:tc>
          <w:tcPr>
            <w:tcW w:w="1414"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高中语文教师</w:t>
            </w:r>
          </w:p>
        </w:tc>
        <w:tc>
          <w:tcPr>
            <w:tcW w:w="116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事业编制</w:t>
            </w:r>
          </w:p>
        </w:tc>
        <w:tc>
          <w:tcPr>
            <w:tcW w:w="95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1:2</w:t>
            </w:r>
          </w:p>
        </w:tc>
        <w:tc>
          <w:tcPr>
            <w:tcW w:w="848"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2</w:t>
            </w:r>
          </w:p>
        </w:tc>
        <w:tc>
          <w:tcPr>
            <w:tcW w:w="850"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中文类</w:t>
            </w:r>
          </w:p>
        </w:tc>
        <w:tc>
          <w:tcPr>
            <w:tcW w:w="2429"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全日制普通高校硕士研究生及以上，且</w:t>
            </w:r>
            <w:r>
              <w:rPr>
                <w:rFonts w:hint="eastAsia" w:ascii="新宋体" w:hAnsi="新宋体" w:eastAsia="新宋体" w:cs="新宋体"/>
                <w:b w:val="0"/>
                <w:i w:val="0"/>
                <w:caps w:val="0"/>
                <w:color w:val="000000"/>
                <w:spacing w:val="0"/>
                <w:kern w:val="0"/>
                <w:sz w:val="18"/>
                <w:szCs w:val="18"/>
                <w:bdr w:val="none" w:color="auto" w:sz="0" w:space="0"/>
                <w:vertAlign w:val="baseline"/>
                <w:lang w:val="en-US" w:eastAsia="zh-CN" w:bidi="ar"/>
              </w:rPr>
              <w:t>本科阶段为全日制师范类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80" w:hRule="atLeast"/>
          <w:jc w:val="center"/>
        </w:trPr>
        <w:tc>
          <w:tcPr>
            <w:tcW w:w="848" w:type="dxa"/>
            <w:vMerge w:val="continue"/>
            <w:tcBorders>
              <w:top w:val="nil"/>
              <w:left w:val="single" w:color="auto" w:sz="8" w:space="0"/>
              <w:bottom w:val="nil"/>
              <w:right w:val="single" w:color="auto" w:sz="8" w:space="0"/>
            </w:tcBorders>
            <w:shd w:val="clear" w:color="auto" w:fill="FFFEFF"/>
            <w:tcMar>
              <w:left w:w="108" w:type="dxa"/>
              <w:right w:w="108" w:type="dxa"/>
            </w:tcMar>
            <w:vAlign w:val="top"/>
          </w:tcPr>
          <w:p>
            <w:pPr>
              <w:rPr>
                <w:rFonts w:hint="default" w:ascii="Arial" w:hAnsi="Arial" w:cs="Arial"/>
                <w:b w:val="0"/>
                <w:i w:val="0"/>
                <w:caps w:val="0"/>
                <w:color w:val="000000"/>
                <w:spacing w:val="0"/>
                <w:sz w:val="18"/>
                <w:szCs w:val="18"/>
                <w:vertAlign w:val="baseline"/>
              </w:rPr>
            </w:pPr>
          </w:p>
        </w:tc>
        <w:tc>
          <w:tcPr>
            <w:tcW w:w="1414"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高中数学教师</w:t>
            </w:r>
          </w:p>
        </w:tc>
        <w:tc>
          <w:tcPr>
            <w:tcW w:w="116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事业编制</w:t>
            </w:r>
          </w:p>
        </w:tc>
        <w:tc>
          <w:tcPr>
            <w:tcW w:w="95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1:2</w:t>
            </w:r>
          </w:p>
        </w:tc>
        <w:tc>
          <w:tcPr>
            <w:tcW w:w="848"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2</w:t>
            </w:r>
          </w:p>
        </w:tc>
        <w:tc>
          <w:tcPr>
            <w:tcW w:w="850"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数学类</w:t>
            </w:r>
          </w:p>
        </w:tc>
        <w:tc>
          <w:tcPr>
            <w:tcW w:w="2429"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全日制普通高校硕士研究生及以上，且</w:t>
            </w:r>
            <w:r>
              <w:rPr>
                <w:rFonts w:hint="eastAsia" w:ascii="新宋体" w:hAnsi="新宋体" w:eastAsia="新宋体" w:cs="新宋体"/>
                <w:b w:val="0"/>
                <w:i w:val="0"/>
                <w:caps w:val="0"/>
                <w:color w:val="000000"/>
                <w:spacing w:val="0"/>
                <w:kern w:val="0"/>
                <w:sz w:val="18"/>
                <w:szCs w:val="18"/>
                <w:bdr w:val="none" w:color="auto" w:sz="0" w:space="0"/>
                <w:vertAlign w:val="baseline"/>
                <w:lang w:val="en-US" w:eastAsia="zh-CN" w:bidi="ar"/>
              </w:rPr>
              <w:t>本科阶段为全日制师范类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EFF"/>
          <w:tblLayout w:type="fixed"/>
          <w:tblCellMar>
            <w:top w:w="0" w:type="dxa"/>
            <w:left w:w="0" w:type="dxa"/>
            <w:bottom w:w="0" w:type="dxa"/>
            <w:right w:w="0" w:type="dxa"/>
          </w:tblCellMar>
        </w:tblPrEx>
        <w:trPr>
          <w:cantSplit/>
          <w:trHeight w:val="680" w:hRule="atLeast"/>
          <w:jc w:val="center"/>
        </w:trPr>
        <w:tc>
          <w:tcPr>
            <w:tcW w:w="848" w:type="dxa"/>
            <w:vMerge w:val="continue"/>
            <w:tcBorders>
              <w:top w:val="nil"/>
              <w:left w:val="single" w:color="auto" w:sz="8" w:space="0"/>
              <w:bottom w:val="nil"/>
              <w:right w:val="single" w:color="auto" w:sz="8" w:space="0"/>
            </w:tcBorders>
            <w:shd w:val="clear" w:color="auto" w:fill="FFFEFF"/>
            <w:tcMar>
              <w:left w:w="108" w:type="dxa"/>
              <w:right w:w="108" w:type="dxa"/>
            </w:tcMar>
            <w:vAlign w:val="top"/>
          </w:tcPr>
          <w:p>
            <w:pPr>
              <w:rPr>
                <w:rFonts w:hint="default" w:ascii="Arial" w:hAnsi="Arial" w:cs="Arial"/>
                <w:b w:val="0"/>
                <w:i w:val="0"/>
                <w:caps w:val="0"/>
                <w:color w:val="000000"/>
                <w:spacing w:val="0"/>
                <w:sz w:val="18"/>
                <w:szCs w:val="18"/>
                <w:vertAlign w:val="baseline"/>
              </w:rPr>
            </w:pPr>
          </w:p>
        </w:tc>
        <w:tc>
          <w:tcPr>
            <w:tcW w:w="1414"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高中英语教师</w:t>
            </w:r>
          </w:p>
        </w:tc>
        <w:tc>
          <w:tcPr>
            <w:tcW w:w="116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事业编制</w:t>
            </w:r>
          </w:p>
        </w:tc>
        <w:tc>
          <w:tcPr>
            <w:tcW w:w="95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1:2</w:t>
            </w:r>
          </w:p>
        </w:tc>
        <w:tc>
          <w:tcPr>
            <w:tcW w:w="848"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2</w:t>
            </w:r>
          </w:p>
        </w:tc>
        <w:tc>
          <w:tcPr>
            <w:tcW w:w="850"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英语类</w:t>
            </w:r>
          </w:p>
        </w:tc>
        <w:tc>
          <w:tcPr>
            <w:tcW w:w="2429"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全日制普通高校硕士研究生及以上，且</w:t>
            </w:r>
            <w:r>
              <w:rPr>
                <w:rFonts w:hint="eastAsia" w:ascii="新宋体" w:hAnsi="新宋体" w:eastAsia="新宋体" w:cs="新宋体"/>
                <w:b w:val="0"/>
                <w:i w:val="0"/>
                <w:caps w:val="0"/>
                <w:color w:val="000000"/>
                <w:spacing w:val="0"/>
                <w:kern w:val="0"/>
                <w:sz w:val="18"/>
                <w:szCs w:val="18"/>
                <w:bdr w:val="none" w:color="auto" w:sz="0" w:space="0"/>
                <w:vertAlign w:val="baseline"/>
                <w:lang w:val="en-US" w:eastAsia="zh-CN" w:bidi="ar"/>
              </w:rPr>
              <w:t>本科阶段为全日制师范类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80" w:hRule="atLeast"/>
          <w:jc w:val="center"/>
        </w:trPr>
        <w:tc>
          <w:tcPr>
            <w:tcW w:w="848" w:type="dxa"/>
            <w:tcBorders>
              <w:top w:val="nil"/>
              <w:left w:val="single" w:color="auto" w:sz="8" w:space="0"/>
              <w:bottom w:val="nil"/>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苏州 大学考点</w:t>
            </w:r>
          </w:p>
        </w:tc>
        <w:tc>
          <w:tcPr>
            <w:tcW w:w="1414"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高中物理教师</w:t>
            </w:r>
          </w:p>
        </w:tc>
        <w:tc>
          <w:tcPr>
            <w:tcW w:w="116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事业编制</w:t>
            </w:r>
          </w:p>
        </w:tc>
        <w:tc>
          <w:tcPr>
            <w:tcW w:w="95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1:2</w:t>
            </w:r>
          </w:p>
        </w:tc>
        <w:tc>
          <w:tcPr>
            <w:tcW w:w="848"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3</w:t>
            </w:r>
          </w:p>
        </w:tc>
        <w:tc>
          <w:tcPr>
            <w:tcW w:w="850"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物理类</w:t>
            </w:r>
          </w:p>
        </w:tc>
        <w:tc>
          <w:tcPr>
            <w:tcW w:w="2429"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全日制普通高校硕士研究生及以上，且</w:t>
            </w:r>
            <w:r>
              <w:rPr>
                <w:rFonts w:hint="eastAsia" w:ascii="新宋体" w:hAnsi="新宋体" w:eastAsia="新宋体" w:cs="新宋体"/>
                <w:b w:val="0"/>
                <w:i w:val="0"/>
                <w:caps w:val="0"/>
                <w:color w:val="000000"/>
                <w:spacing w:val="0"/>
                <w:kern w:val="0"/>
                <w:sz w:val="18"/>
                <w:szCs w:val="18"/>
                <w:bdr w:val="none" w:color="auto" w:sz="0" w:space="0"/>
                <w:vertAlign w:val="baseline"/>
                <w:lang w:val="en-US" w:eastAsia="zh-CN" w:bidi="ar"/>
              </w:rPr>
              <w:t>本科阶段为全日制师范类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EFF"/>
          <w:tblLayout w:type="fixed"/>
          <w:tblCellMar>
            <w:top w:w="0" w:type="dxa"/>
            <w:left w:w="0" w:type="dxa"/>
            <w:bottom w:w="0" w:type="dxa"/>
            <w:right w:w="0" w:type="dxa"/>
          </w:tblCellMar>
        </w:tblPrEx>
        <w:trPr>
          <w:cantSplit/>
          <w:trHeight w:val="680" w:hRule="atLeast"/>
          <w:jc w:val="center"/>
        </w:trPr>
        <w:tc>
          <w:tcPr>
            <w:tcW w:w="848" w:type="dxa"/>
            <w:vMerge w:val="restart"/>
            <w:tcBorders>
              <w:top w:val="nil"/>
              <w:left w:val="single" w:color="auto" w:sz="8" w:space="0"/>
              <w:bottom w:val="nil"/>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扬州 大学考点</w:t>
            </w:r>
          </w:p>
        </w:tc>
        <w:tc>
          <w:tcPr>
            <w:tcW w:w="1414"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高中生物教师</w:t>
            </w:r>
          </w:p>
        </w:tc>
        <w:tc>
          <w:tcPr>
            <w:tcW w:w="116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事业编制</w:t>
            </w:r>
          </w:p>
        </w:tc>
        <w:tc>
          <w:tcPr>
            <w:tcW w:w="95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1:2</w:t>
            </w:r>
          </w:p>
        </w:tc>
        <w:tc>
          <w:tcPr>
            <w:tcW w:w="848"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3</w:t>
            </w:r>
          </w:p>
        </w:tc>
        <w:tc>
          <w:tcPr>
            <w:tcW w:w="850"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生物类</w:t>
            </w:r>
          </w:p>
        </w:tc>
        <w:tc>
          <w:tcPr>
            <w:tcW w:w="2429"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全日制普通高校硕士研究生及以上，且</w:t>
            </w:r>
            <w:r>
              <w:rPr>
                <w:rFonts w:hint="eastAsia" w:ascii="新宋体" w:hAnsi="新宋体" w:eastAsia="新宋体" w:cs="新宋体"/>
                <w:b w:val="0"/>
                <w:i w:val="0"/>
                <w:caps w:val="0"/>
                <w:color w:val="000000"/>
                <w:spacing w:val="0"/>
                <w:kern w:val="0"/>
                <w:sz w:val="18"/>
                <w:szCs w:val="18"/>
                <w:bdr w:val="none" w:color="auto" w:sz="0" w:space="0"/>
                <w:vertAlign w:val="baseline"/>
                <w:lang w:val="en-US" w:eastAsia="zh-CN" w:bidi="ar"/>
              </w:rPr>
              <w:t>本科阶段为全日制师范类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80" w:hRule="atLeast"/>
          <w:jc w:val="center"/>
        </w:trPr>
        <w:tc>
          <w:tcPr>
            <w:tcW w:w="848" w:type="dxa"/>
            <w:vMerge w:val="continue"/>
            <w:tcBorders>
              <w:top w:val="nil"/>
              <w:left w:val="single" w:color="auto" w:sz="8" w:space="0"/>
              <w:bottom w:val="nil"/>
              <w:right w:val="single" w:color="auto" w:sz="8" w:space="0"/>
            </w:tcBorders>
            <w:shd w:val="clear" w:color="auto" w:fill="FFFEFF"/>
            <w:tcMar>
              <w:left w:w="108" w:type="dxa"/>
              <w:right w:w="108" w:type="dxa"/>
            </w:tcMar>
            <w:vAlign w:val="top"/>
          </w:tcPr>
          <w:p>
            <w:pPr>
              <w:rPr>
                <w:rFonts w:hint="default" w:ascii="Arial" w:hAnsi="Arial" w:cs="Arial"/>
                <w:b w:val="0"/>
                <w:i w:val="0"/>
                <w:caps w:val="0"/>
                <w:color w:val="000000"/>
                <w:spacing w:val="0"/>
                <w:sz w:val="18"/>
                <w:szCs w:val="18"/>
                <w:vertAlign w:val="baseline"/>
              </w:rPr>
            </w:pPr>
          </w:p>
        </w:tc>
        <w:tc>
          <w:tcPr>
            <w:tcW w:w="1414"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高中化学教师</w:t>
            </w:r>
          </w:p>
        </w:tc>
        <w:tc>
          <w:tcPr>
            <w:tcW w:w="116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事业编制</w:t>
            </w:r>
          </w:p>
        </w:tc>
        <w:tc>
          <w:tcPr>
            <w:tcW w:w="95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1:2</w:t>
            </w:r>
          </w:p>
        </w:tc>
        <w:tc>
          <w:tcPr>
            <w:tcW w:w="848"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3</w:t>
            </w:r>
          </w:p>
        </w:tc>
        <w:tc>
          <w:tcPr>
            <w:tcW w:w="850"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化学类</w:t>
            </w:r>
          </w:p>
        </w:tc>
        <w:tc>
          <w:tcPr>
            <w:tcW w:w="2429"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全日制普通高校硕士研究生及以上，且</w:t>
            </w:r>
            <w:r>
              <w:rPr>
                <w:rFonts w:hint="eastAsia" w:ascii="新宋体" w:hAnsi="新宋体" w:eastAsia="新宋体" w:cs="新宋体"/>
                <w:b w:val="0"/>
                <w:i w:val="0"/>
                <w:caps w:val="0"/>
                <w:color w:val="000000"/>
                <w:spacing w:val="0"/>
                <w:kern w:val="0"/>
                <w:sz w:val="18"/>
                <w:szCs w:val="18"/>
                <w:bdr w:val="none" w:color="auto" w:sz="0" w:space="0"/>
                <w:vertAlign w:val="baseline"/>
                <w:lang w:val="en-US" w:eastAsia="zh-CN" w:bidi="ar"/>
              </w:rPr>
              <w:t>本科阶段为全日制师范类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EFF"/>
          <w:tblLayout w:type="fixed"/>
          <w:tblCellMar>
            <w:top w:w="0" w:type="dxa"/>
            <w:left w:w="0" w:type="dxa"/>
            <w:bottom w:w="0" w:type="dxa"/>
            <w:right w:w="0" w:type="dxa"/>
          </w:tblCellMar>
        </w:tblPrEx>
        <w:trPr>
          <w:cantSplit/>
          <w:trHeight w:val="680" w:hRule="atLeast"/>
          <w:jc w:val="center"/>
        </w:trPr>
        <w:tc>
          <w:tcPr>
            <w:tcW w:w="848" w:type="dxa"/>
            <w:vMerge w:val="restart"/>
            <w:tcBorders>
              <w:top w:val="nil"/>
              <w:left w:val="single" w:color="auto" w:sz="8" w:space="0"/>
              <w:bottom w:val="nil"/>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江苏师范大学考点</w:t>
            </w:r>
          </w:p>
        </w:tc>
        <w:tc>
          <w:tcPr>
            <w:tcW w:w="1414"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高中历史教师</w:t>
            </w:r>
          </w:p>
        </w:tc>
        <w:tc>
          <w:tcPr>
            <w:tcW w:w="116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事业编制</w:t>
            </w:r>
          </w:p>
        </w:tc>
        <w:tc>
          <w:tcPr>
            <w:tcW w:w="95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1:2</w:t>
            </w:r>
          </w:p>
        </w:tc>
        <w:tc>
          <w:tcPr>
            <w:tcW w:w="848"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2</w:t>
            </w:r>
          </w:p>
        </w:tc>
        <w:tc>
          <w:tcPr>
            <w:tcW w:w="850"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历史类</w:t>
            </w:r>
          </w:p>
        </w:tc>
        <w:tc>
          <w:tcPr>
            <w:tcW w:w="2429"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全日制普通高校硕士研究生及以上，且</w:t>
            </w:r>
            <w:r>
              <w:rPr>
                <w:rFonts w:hint="eastAsia" w:ascii="新宋体" w:hAnsi="新宋体" w:eastAsia="新宋体" w:cs="新宋体"/>
                <w:b w:val="0"/>
                <w:i w:val="0"/>
                <w:caps w:val="0"/>
                <w:color w:val="000000"/>
                <w:spacing w:val="0"/>
                <w:kern w:val="0"/>
                <w:sz w:val="18"/>
                <w:szCs w:val="18"/>
                <w:bdr w:val="none" w:color="auto" w:sz="0" w:space="0"/>
                <w:vertAlign w:val="baseline"/>
                <w:lang w:val="en-US" w:eastAsia="zh-CN" w:bidi="ar"/>
              </w:rPr>
              <w:t>本科阶段为全日制师范类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80" w:hRule="atLeast"/>
          <w:jc w:val="center"/>
        </w:trPr>
        <w:tc>
          <w:tcPr>
            <w:tcW w:w="848" w:type="dxa"/>
            <w:vMerge w:val="continue"/>
            <w:tcBorders>
              <w:top w:val="nil"/>
              <w:left w:val="single" w:color="auto" w:sz="8" w:space="0"/>
              <w:bottom w:val="nil"/>
              <w:right w:val="single" w:color="auto" w:sz="8" w:space="0"/>
            </w:tcBorders>
            <w:shd w:val="clear" w:color="auto" w:fill="FFFEFF"/>
            <w:tcMar>
              <w:left w:w="108" w:type="dxa"/>
              <w:right w:w="108" w:type="dxa"/>
            </w:tcMar>
            <w:vAlign w:val="top"/>
          </w:tcPr>
          <w:p>
            <w:pPr>
              <w:rPr>
                <w:rFonts w:hint="default" w:ascii="Arial" w:hAnsi="Arial" w:cs="Arial"/>
                <w:b w:val="0"/>
                <w:i w:val="0"/>
                <w:caps w:val="0"/>
                <w:color w:val="000000"/>
                <w:spacing w:val="0"/>
                <w:sz w:val="18"/>
                <w:szCs w:val="18"/>
                <w:vertAlign w:val="baseline"/>
              </w:rPr>
            </w:pPr>
          </w:p>
        </w:tc>
        <w:tc>
          <w:tcPr>
            <w:tcW w:w="1414"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高中地理教师</w:t>
            </w:r>
          </w:p>
        </w:tc>
        <w:tc>
          <w:tcPr>
            <w:tcW w:w="116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事业编制</w:t>
            </w:r>
          </w:p>
        </w:tc>
        <w:tc>
          <w:tcPr>
            <w:tcW w:w="953"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1:2</w:t>
            </w:r>
          </w:p>
        </w:tc>
        <w:tc>
          <w:tcPr>
            <w:tcW w:w="848"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3</w:t>
            </w:r>
          </w:p>
        </w:tc>
        <w:tc>
          <w:tcPr>
            <w:tcW w:w="850"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21"/>
                <w:szCs w:val="21"/>
                <w:bdr w:val="none" w:color="auto" w:sz="0" w:space="0"/>
                <w:vertAlign w:val="baseline"/>
                <w:lang w:val="en-US" w:eastAsia="zh-CN" w:bidi="ar"/>
              </w:rPr>
              <w:t>地理类</w:t>
            </w:r>
          </w:p>
        </w:tc>
        <w:tc>
          <w:tcPr>
            <w:tcW w:w="2429" w:type="dxa"/>
            <w:tcBorders>
              <w:top w:val="nil"/>
              <w:left w:val="nil"/>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15" w:lineRule="atLeast"/>
              <w:ind w:left="0" w:right="0" w:firstLine="420"/>
              <w:jc w:val="center"/>
              <w:textAlignment w:val="baseline"/>
              <w:rPr>
                <w:sz w:val="18"/>
                <w:szCs w:val="18"/>
              </w:rPr>
            </w:pPr>
            <w:r>
              <w:rPr>
                <w:rFonts w:hint="eastAsia" w:ascii="宋体" w:hAnsi="宋体" w:eastAsia="宋体" w:cs="宋体"/>
                <w:b w:val="0"/>
                <w:i w:val="0"/>
                <w:caps w:val="0"/>
                <w:color w:val="000000"/>
                <w:spacing w:val="0"/>
                <w:kern w:val="0"/>
                <w:sz w:val="18"/>
                <w:szCs w:val="18"/>
                <w:bdr w:val="none" w:color="auto" w:sz="0" w:space="0"/>
                <w:vertAlign w:val="baseline"/>
                <w:lang w:val="en-US" w:eastAsia="zh-CN" w:bidi="ar"/>
              </w:rPr>
              <w:t>全日制普通高校硕士研究生及以上，且</w:t>
            </w:r>
            <w:r>
              <w:rPr>
                <w:rFonts w:hint="eastAsia" w:ascii="新宋体" w:hAnsi="新宋体" w:eastAsia="新宋体" w:cs="新宋体"/>
                <w:b w:val="0"/>
                <w:i w:val="0"/>
                <w:caps w:val="0"/>
                <w:color w:val="000000"/>
                <w:spacing w:val="0"/>
                <w:kern w:val="0"/>
                <w:sz w:val="18"/>
                <w:szCs w:val="18"/>
                <w:bdr w:val="none" w:color="auto" w:sz="0" w:space="0"/>
                <w:vertAlign w:val="baseline"/>
                <w:lang w:val="en-US" w:eastAsia="zh-CN" w:bidi="ar"/>
              </w:rPr>
              <w:t>本科阶段为全日制师范类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EFF"/>
          <w:tblLayout w:type="fixed"/>
          <w:tblCellMar>
            <w:top w:w="0" w:type="dxa"/>
            <w:left w:w="0" w:type="dxa"/>
            <w:bottom w:w="0" w:type="dxa"/>
            <w:right w:w="0" w:type="dxa"/>
          </w:tblCellMar>
        </w:tblPrEx>
        <w:trPr>
          <w:cantSplit/>
          <w:trHeight w:val="680" w:hRule="atLeast"/>
          <w:jc w:val="center"/>
        </w:trPr>
        <w:tc>
          <w:tcPr>
            <w:tcW w:w="8505" w:type="dxa"/>
            <w:gridSpan w:val="7"/>
            <w:tcBorders>
              <w:top w:val="nil"/>
              <w:left w:val="single" w:color="auto" w:sz="8" w:space="0"/>
              <w:bottom w:val="single" w:color="auto" w:sz="8" w:space="0"/>
              <w:right w:val="single" w:color="auto" w:sz="8" w:space="0"/>
            </w:tcBorders>
            <w:shd w:val="clear" w:color="auto" w:fill="FFFE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40" w:lineRule="atLeast"/>
              <w:ind w:left="0" w:right="0" w:firstLine="420"/>
              <w:jc w:val="left"/>
              <w:textAlignment w:val="baseline"/>
              <w:rPr>
                <w:sz w:val="18"/>
                <w:szCs w:val="18"/>
              </w:rPr>
            </w:pPr>
            <w:r>
              <w:rPr>
                <w:rFonts w:hint="eastAsia" w:ascii="宋体" w:hAnsi="宋体" w:eastAsia="宋体" w:cs="宋体"/>
                <w:b w:val="0"/>
                <w:i w:val="0"/>
                <w:caps w:val="0"/>
                <w:color w:val="000000"/>
                <w:spacing w:val="0"/>
                <w:kern w:val="0"/>
                <w:sz w:val="24"/>
                <w:szCs w:val="24"/>
                <w:bdr w:val="none" w:color="auto" w:sz="0" w:space="0"/>
                <w:vertAlign w:val="baseline"/>
                <w:lang w:val="en-US" w:eastAsia="zh-CN" w:bidi="ar"/>
              </w:rPr>
              <w:t>备注：凡符合报考条件的考生可自主选择考点报考。</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Courier New">
    <w:panose1 w:val="02070309020205020404"/>
    <w:charset w:val="00"/>
    <w:family w:val="auto"/>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FontAwesome">
    <w:altName w:val="Segoe Print"/>
    <w:panose1 w:val="00000000000000000000"/>
    <w:charset w:val="00"/>
    <w:family w:val="auto"/>
    <w:pitch w:val="default"/>
    <w:sig w:usb0="00000000" w:usb1="00000000" w:usb2="00000000" w:usb3="00000000" w:csb0="00000000" w:csb1="00000000"/>
  </w:font>
  <w:font w:name="Glyphicons Halflings">
    <w:altName w:val="Segoe Print"/>
    <w:panose1 w:val="00000000000000000000"/>
    <w:charset w:val="00"/>
    <w:family w:val="auto"/>
    <w:pitch w:val="default"/>
    <w:sig w:usb0="00000000" w:usb1="00000000" w:usb2="00000000" w:usb3="00000000" w:csb0="00000000" w:csb1="00000000"/>
  </w:font>
  <w:font w:name="revicons">
    <w:altName w:val="Segoe Print"/>
    <w:panose1 w:val="00000000000000000000"/>
    <w:charset w:val="00"/>
    <w:family w:val="auto"/>
    <w:pitch w:val="default"/>
    <w:sig w:usb0="00000000" w:usb1="00000000" w:usb2="00000000" w:usb3="00000000" w:csb0="00000000" w:csb1="00000000"/>
  </w:font>
  <w:font w:name="Menl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_5b8b_4f53">
    <w:altName w:val="Segoe Print"/>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236A64"/>
    <w:rsid w:val="2F236A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0" w:after="150" w:afterAutospacing="0" w:line="17" w:lineRule="atLeast"/>
      <w:ind w:left="0" w:right="0"/>
      <w:jc w:val="left"/>
    </w:pPr>
    <w:rPr>
      <w:rFonts w:ascii="微软雅黑" w:hAnsi="微软雅黑" w:eastAsia="微软雅黑" w:cs="微软雅黑"/>
      <w:b/>
      <w:kern w:val="0"/>
      <w:sz w:val="45"/>
      <w:szCs w:val="45"/>
      <w:lang w:val="en-US" w:eastAsia="zh-CN" w:bidi="ar"/>
    </w:rPr>
  </w:style>
  <w:style w:type="paragraph" w:styleId="4">
    <w:name w:val="heading 3"/>
    <w:basedOn w:val="1"/>
    <w:next w:val="1"/>
    <w:unhideWhenUsed/>
    <w:qFormat/>
    <w:uiPriority w:val="0"/>
    <w:pPr>
      <w:spacing w:before="0" w:beforeAutospacing="0" w:after="150" w:afterAutospacing="0" w:line="17" w:lineRule="atLeast"/>
      <w:ind w:left="0" w:right="0"/>
      <w:jc w:val="left"/>
    </w:pPr>
    <w:rPr>
      <w:rFonts w:hint="eastAsia" w:ascii="微软雅黑" w:hAnsi="微软雅黑" w:eastAsia="微软雅黑" w:cs="微软雅黑"/>
      <w:b/>
      <w:kern w:val="0"/>
      <w:sz w:val="36"/>
      <w:szCs w:val="36"/>
      <w:lang w:val="en-US" w:eastAsia="zh-CN" w:bidi="ar"/>
    </w:rPr>
  </w:style>
  <w:style w:type="character" w:default="1" w:styleId="6">
    <w:name w:val="Default Paragraph Font"/>
    <w:semiHidden/>
    <w:uiPriority w:val="0"/>
  </w:style>
  <w:style w:type="table" w:default="1" w:styleId="17">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rFonts w:hint="eastAsia" w:ascii="微软雅黑" w:hAnsi="微软雅黑" w:eastAsia="微软雅黑" w:cs="微软雅黑"/>
      <w:color w:val="353535"/>
      <w:sz w:val="19"/>
      <w:szCs w:val="19"/>
      <w:u w:val="none"/>
    </w:rPr>
  </w:style>
  <w:style w:type="character" w:styleId="9">
    <w:name w:val="Emphasis"/>
    <w:basedOn w:val="6"/>
    <w:qFormat/>
    <w:uiPriority w:val="0"/>
  </w:style>
  <w:style w:type="character" w:styleId="10">
    <w:name w:val="HTML Definition"/>
    <w:basedOn w:val="6"/>
    <w:uiPriority w:val="0"/>
  </w:style>
  <w:style w:type="character" w:styleId="11">
    <w:name w:val="HTML Variable"/>
    <w:basedOn w:val="6"/>
    <w:uiPriority w:val="0"/>
  </w:style>
  <w:style w:type="character" w:styleId="12">
    <w:name w:val="Hyperlink"/>
    <w:basedOn w:val="6"/>
    <w:uiPriority w:val="0"/>
    <w:rPr>
      <w:rFonts w:hint="eastAsia" w:ascii="微软雅黑" w:hAnsi="微软雅黑" w:eastAsia="微软雅黑" w:cs="微软雅黑"/>
      <w:color w:val="353535"/>
      <w:sz w:val="19"/>
      <w:szCs w:val="19"/>
      <w:u w:val="none"/>
    </w:rPr>
  </w:style>
  <w:style w:type="character" w:styleId="13">
    <w:name w:val="HTML Code"/>
    <w:basedOn w:val="6"/>
    <w:uiPriority w:val="0"/>
    <w:rPr>
      <w:rFonts w:hint="default" w:ascii="Courier New" w:hAnsi="Courier New" w:eastAsia="Courier New" w:cs="Courier New"/>
      <w:sz w:val="20"/>
    </w:rPr>
  </w:style>
  <w:style w:type="character" w:styleId="14">
    <w:name w:val="HTML Cite"/>
    <w:basedOn w:val="6"/>
    <w:uiPriority w:val="0"/>
  </w:style>
  <w:style w:type="character" w:styleId="15">
    <w:name w:val="HTML Keyboard"/>
    <w:basedOn w:val="6"/>
    <w:uiPriority w:val="0"/>
    <w:rPr>
      <w:rFonts w:ascii="Courier New" w:hAnsi="Courier New" w:eastAsia="Courier New" w:cs="Courier New"/>
      <w:sz w:val="20"/>
    </w:rPr>
  </w:style>
  <w:style w:type="character" w:styleId="16">
    <w:name w:val="HTML Sample"/>
    <w:basedOn w:val="6"/>
    <w:uiPriority w:val="0"/>
    <w:rPr>
      <w:rFonts w:hint="default" w:ascii="Courier New" w:hAnsi="Courier New" w:eastAsia="Courier New" w:cs="Courier New"/>
    </w:rPr>
  </w:style>
  <w:style w:type="character" w:customStyle="1" w:styleId="18">
    <w:name w:val="dots"/>
    <w:basedOn w:val="6"/>
    <w:uiPriority w:val="0"/>
    <w:rPr>
      <w:color w:val="7C7C7C"/>
      <w:bdr w:val="none" w:color="auto" w:sz="0" w:space="0"/>
    </w:rPr>
  </w:style>
  <w:style w:type="character" w:customStyle="1" w:styleId="19">
    <w:name w:val="curpage&gt;span"/>
    <w:basedOn w:val="6"/>
    <w:uiPriority w:val="0"/>
    <w:rPr>
      <w:vanish/>
    </w:rPr>
  </w:style>
  <w:style w:type="character" w:customStyle="1" w:styleId="20">
    <w:name w:val="curpage"/>
    <w:basedOn w:val="6"/>
    <w:uiPriority w:val="0"/>
    <w:rPr>
      <w:color w:val="FFFFFF"/>
      <w:shd w:val="clear" w:fill="64AED9"/>
    </w:rPr>
  </w:style>
  <w:style w:type="character" w:customStyle="1" w:styleId="21">
    <w:name w:val="hover27"/>
    <w:basedOn w:val="6"/>
    <w:uiPriority w:val="0"/>
    <w:rPr>
      <w:color w:val="FFFFFF"/>
      <w:bdr w:val="single" w:color="64AED9" w:sz="6" w:space="0"/>
      <w:shd w:val="clear" w:fill="64AED9"/>
    </w:rPr>
  </w:style>
  <w:style w:type="character" w:customStyle="1" w:styleId="22">
    <w:name w:val="hover28"/>
    <w:basedOn w:val="6"/>
    <w:uiPriority w:val="0"/>
    <w:rPr>
      <w:u w:val="none"/>
      <w:shd w:val="clear" w:fill="5DA8D5"/>
    </w:rPr>
  </w:style>
  <w:style w:type="character" w:customStyle="1" w:styleId="23">
    <w:name w:val="testimonials-post"/>
    <w:basedOn w:val="6"/>
    <w:uiPriority w:val="0"/>
    <w:rPr>
      <w:color w:val="656565"/>
      <w:sz w:val="18"/>
      <w:szCs w:val="18"/>
    </w:rPr>
  </w:style>
  <w:style w:type="character" w:customStyle="1" w:styleId="24">
    <w:name w:val="sep"/>
    <w:basedOn w:val="6"/>
    <w:uiPriority w:val="0"/>
    <w:rPr>
      <w:shd w:val="clear" w:fill="EAEAEA"/>
    </w:rPr>
  </w:style>
  <w:style w:type="character" w:customStyle="1" w:styleId="25">
    <w:name w:val="testimonials-name"/>
    <w:basedOn w:val="6"/>
    <w:uiPriority w:val="0"/>
    <w:rPr>
      <w:color w:val="64AED9"/>
      <w:sz w:val="24"/>
      <w:szCs w:val="24"/>
    </w:rPr>
  </w:style>
  <w:style w:type="character" w:customStyle="1" w:styleId="26">
    <w:name w:val="color-mode-label"/>
    <w:basedOn w:val="6"/>
    <w:uiPriority w:val="0"/>
  </w:style>
  <w:style w:type="character" w:customStyle="1" w:styleId="27">
    <w:name w:val="mony"/>
    <w:basedOn w:val="6"/>
    <w:uiPriority w:val="0"/>
    <w:rPr>
      <w:color w:val="D81A1A"/>
    </w:rPr>
  </w:style>
  <w:style w:type="character" w:customStyle="1" w:styleId="28">
    <w:name w:val="entry-month-day"/>
    <w:basedOn w:val="6"/>
    <w:uiPriority w:val="0"/>
    <w:rPr>
      <w:color w:val="FFFFFF"/>
      <w:sz w:val="21"/>
      <w:szCs w:val="21"/>
      <w:bdr w:val="none" w:color="auto" w:sz="0" w:space="0"/>
      <w:shd w:val="clear" w:fill="64AED9"/>
    </w:rPr>
  </w:style>
  <w:style w:type="character" w:customStyle="1" w:styleId="29">
    <w:name w:val="entry-year"/>
    <w:basedOn w:val="6"/>
    <w:uiPriority w:val="0"/>
    <w:rPr>
      <w:color w:val="64AED9"/>
      <w:sz w:val="18"/>
      <w:szCs w:val="18"/>
      <w:bdr w:val="none" w:color="auto" w:sz="0" w:space="0"/>
    </w:rPr>
  </w:style>
  <w:style w:type="character" w:customStyle="1" w:styleId="30">
    <w:name w:val="floatright"/>
    <w:basedOn w:val="6"/>
    <w:uiPriority w:val="0"/>
    <w:rPr>
      <w:color w:val="818181"/>
    </w:rPr>
  </w:style>
  <w:style w:type="character" w:customStyle="1" w:styleId="31">
    <w:name w:val="timebar"/>
    <w:basedOn w:val="6"/>
    <w:uiPriority w:val="0"/>
    <w:rPr>
      <w:color w:val="A0A0A0"/>
      <w:sz w:val="21"/>
      <w:szCs w:val="21"/>
    </w:rPr>
  </w:style>
  <w:style w:type="character" w:customStyle="1" w:styleId="32">
    <w:name w:val="pull-right4"/>
    <w:basedOn w:val="6"/>
    <w:uiPriority w:val="0"/>
    <w:rPr>
      <w:color w:val="A3A3A3"/>
    </w:rPr>
  </w:style>
  <w:style w:type="character" w:customStyle="1" w:styleId="33">
    <w:name w:val="input-right"/>
    <w:basedOn w:val="6"/>
    <w:uiPriority w:val="0"/>
  </w:style>
  <w:style w:type="character" w:customStyle="1" w:styleId="34">
    <w:name w:val="hover26"/>
    <w:basedOn w:val="6"/>
    <w:uiPriority w:val="0"/>
    <w:rPr>
      <w:u w:val="none"/>
      <w:shd w:val="clear" w:fill="5DA8D5"/>
    </w:rPr>
  </w:style>
  <w:style w:type="character" w:customStyle="1" w:styleId="35">
    <w:name w:val="pull-right3"/>
    <w:basedOn w:val="6"/>
    <w:uiPriority w:val="0"/>
    <w:rPr>
      <w:color w:val="A3A3A3"/>
    </w:rPr>
  </w:style>
  <w:style w:type="paragraph" w:customStyle="1" w:styleId="36">
    <w:name w:val="basic-info"/>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lang w:val="en-US" w:eastAsia="zh-CN" w:bidi="ar"/>
    </w:rPr>
  </w:style>
  <w:style w:type="character" w:customStyle="1" w:styleId="37">
    <w:name w:val="pull-right"/>
    <w:basedOn w:val="6"/>
    <w:uiPriority w:val="0"/>
    <w:rPr>
      <w:color w:val="A3A3A3"/>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2017-11-28T13:14:00Z</dcterms:created>
  <dc:creator>水无鱼</dc:creator>
  <cp:lastModifiedBy>水无鱼</cp:lastModifiedBy>
  <dcterms:modified xsi:type="dcterms:W3CDTF">2017-11-28T15:49:04Z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