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r>
        <w:rPr>
          <w:color w:val="626262"/>
          <w:sz w:val="21"/>
          <w:szCs w:val="21"/>
          <w:bdr w:val="none" w:color="auto" w:sz="0" w:space="0"/>
        </w:rPr>
        <w:t>黑龙江省2016年下半年中小学教师资格考试（笔试）公告</w:t>
      </w:r>
    </w:p>
    <w:p>
      <w:pPr>
        <w:keepNext w:val="0"/>
        <w:keepLines w:val="0"/>
        <w:widowControl/>
        <w:suppressLineNumbers w:val="0"/>
        <w:jc w:val="left"/>
      </w:pPr>
      <w:r>
        <w:rPr>
          <w:rFonts w:ascii="Verdana" w:hAnsi="Verdana" w:eastAsia="宋体" w:cs="Verdana"/>
          <w:color w:val="626262"/>
          <w:kern w:val="0"/>
          <w:sz w:val="21"/>
          <w:szCs w:val="21"/>
          <w:bdr w:val="none" w:color="auto" w:sz="0" w:space="0"/>
          <w:lang w:val="en-US" w:eastAsia="zh-CN" w:bidi="ar"/>
        </w:rPr>
        <w:t>  根据教育部考试中心《关于2016年下半年中小学教师资格考试考务相关事项的通知》(教试中心函〔2016〕117号)和黑龙江省教育厅《关于开展2016年中小学教师资格国家考试工作的通知》（黑教师函〔2016〕351号）文件要求，现将我省2016年下半年中小学教师资格考试（笔试）报名及考</w:t>
      </w:r>
      <w:bookmarkStart w:id="0" w:name="_GoBack"/>
      <w:bookmarkEnd w:id="0"/>
      <w:r>
        <w:rPr>
          <w:rFonts w:ascii="Verdana" w:hAnsi="Verdana" w:eastAsia="宋体" w:cs="Verdana"/>
          <w:color w:val="626262"/>
          <w:kern w:val="0"/>
          <w:sz w:val="21"/>
          <w:szCs w:val="21"/>
          <w:bdr w:val="none" w:color="auto" w:sz="0" w:space="0"/>
          <w:lang w:val="en-US" w:eastAsia="zh-CN" w:bidi="ar"/>
        </w:rPr>
        <w:t>试有关事项公告如下：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一、报考安排</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（一）网上报名时间：9月6日至9日。</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（二）网上审核时间：9月6日至13日。</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（三）网上缴费时间：9月6日至16日。</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（四）考试时间：</w:t>
      </w:r>
    </w:p>
    <w:tbl>
      <w:tblPr>
        <w:tblW w:w="8604" w:type="dxa"/>
        <w:tblCellSpacing w:w="0" w:type="dxa"/>
        <w:tblInd w:w="0" w:type="dxa"/>
        <w:shd w:val="clear"/>
        <w:tblLayout w:type="fixed"/>
        <w:tblCellMar>
          <w:top w:w="0" w:type="dxa"/>
          <w:left w:w="0" w:type="dxa"/>
          <w:bottom w:w="0" w:type="dxa"/>
          <w:right w:w="0" w:type="dxa"/>
        </w:tblCellMar>
      </w:tblPr>
      <w:tblGrid>
        <w:gridCol w:w="1996"/>
        <w:gridCol w:w="2105"/>
        <w:gridCol w:w="2414"/>
        <w:gridCol w:w="2089"/>
      </w:tblGrid>
      <w:tr>
        <w:tblPrEx>
          <w:shd w:val="clear"/>
          <w:tblLayout w:type="fixed"/>
          <w:tblCellMar>
            <w:top w:w="0" w:type="dxa"/>
            <w:left w:w="0" w:type="dxa"/>
            <w:bottom w:w="0" w:type="dxa"/>
            <w:right w:w="0" w:type="dxa"/>
          </w:tblCellMar>
        </w:tblPrEx>
        <w:trPr>
          <w:trHeight w:val="825" w:hRule="atLeast"/>
          <w:tblCellSpacing w:w="0" w:type="dxa"/>
        </w:trPr>
        <w:tc>
          <w:tcPr>
            <w:tcW w:w="1996"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eastAsia"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类 别 \ 时 间</w:t>
            </w:r>
          </w:p>
        </w:tc>
        <w:tc>
          <w:tcPr>
            <w:tcW w:w="6608" w:type="dxa"/>
            <w:gridSpan w:val="3"/>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11月5日（星期六）</w:t>
            </w:r>
          </w:p>
        </w:tc>
      </w:tr>
      <w:tr>
        <w:tblPrEx>
          <w:tblLayout w:type="fixed"/>
          <w:tblCellMar>
            <w:top w:w="0" w:type="dxa"/>
            <w:left w:w="0" w:type="dxa"/>
            <w:bottom w:w="0" w:type="dxa"/>
            <w:right w:w="0" w:type="dxa"/>
          </w:tblCellMar>
        </w:tblPrEx>
        <w:trPr>
          <w:trHeight w:val="705" w:hRule="atLeast"/>
          <w:tblCellSpacing w:w="0" w:type="dxa"/>
        </w:trPr>
        <w:tc>
          <w:tcPr>
            <w:tcW w:w="1996"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10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 午</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9:00-11:00</w:t>
            </w:r>
          </w:p>
        </w:tc>
        <w:tc>
          <w:tcPr>
            <w:tcW w:w="241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下 午</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13:00-15:00</w:t>
            </w:r>
          </w:p>
        </w:tc>
        <w:tc>
          <w:tcPr>
            <w:tcW w:w="208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下 午</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16:00-18:00</w:t>
            </w:r>
          </w:p>
        </w:tc>
      </w:tr>
      <w:tr>
        <w:tblPrEx>
          <w:tblLayout w:type="fixed"/>
          <w:tblCellMar>
            <w:top w:w="0" w:type="dxa"/>
            <w:left w:w="0" w:type="dxa"/>
            <w:bottom w:w="0" w:type="dxa"/>
            <w:right w:w="0" w:type="dxa"/>
          </w:tblCellMar>
        </w:tblPrEx>
        <w:trPr>
          <w:trHeight w:val="1005" w:hRule="atLeast"/>
          <w:tblCellSpacing w:w="0" w:type="dxa"/>
        </w:trPr>
        <w:tc>
          <w:tcPr>
            <w:tcW w:w="199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幼 儿 园</w:t>
            </w:r>
          </w:p>
        </w:tc>
        <w:tc>
          <w:tcPr>
            <w:tcW w:w="210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综合素质</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（幼儿园）</w:t>
            </w:r>
          </w:p>
        </w:tc>
        <w:tc>
          <w:tcPr>
            <w:tcW w:w="241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保教知识与能力</w:t>
            </w:r>
          </w:p>
        </w:tc>
        <w:tc>
          <w:tcPr>
            <w:tcW w:w="208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005" w:hRule="atLeast"/>
          <w:tblCellSpacing w:w="0" w:type="dxa"/>
        </w:trPr>
        <w:tc>
          <w:tcPr>
            <w:tcW w:w="199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小    学</w:t>
            </w:r>
          </w:p>
        </w:tc>
        <w:tc>
          <w:tcPr>
            <w:tcW w:w="210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综合素质</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（小学）</w:t>
            </w:r>
          </w:p>
        </w:tc>
        <w:tc>
          <w:tcPr>
            <w:tcW w:w="241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教育教学知识与能力</w:t>
            </w:r>
          </w:p>
        </w:tc>
        <w:tc>
          <w:tcPr>
            <w:tcW w:w="208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510" w:hRule="atLeast"/>
          <w:tblCellSpacing w:w="0" w:type="dxa"/>
        </w:trPr>
        <w:tc>
          <w:tcPr>
            <w:tcW w:w="199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初级中学</w:t>
            </w:r>
          </w:p>
        </w:tc>
        <w:tc>
          <w:tcPr>
            <w:tcW w:w="2105"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综合素质</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（中学）</w:t>
            </w:r>
          </w:p>
        </w:tc>
        <w:tc>
          <w:tcPr>
            <w:tcW w:w="2414"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教育知识与能力</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（中学）</w:t>
            </w:r>
          </w:p>
        </w:tc>
        <w:tc>
          <w:tcPr>
            <w:tcW w:w="2089"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学科知识与教学能力</w:t>
            </w:r>
          </w:p>
        </w:tc>
      </w:tr>
      <w:tr>
        <w:tblPrEx>
          <w:tblLayout w:type="fixed"/>
          <w:tblCellMar>
            <w:top w:w="0" w:type="dxa"/>
            <w:left w:w="0" w:type="dxa"/>
            <w:bottom w:w="0" w:type="dxa"/>
            <w:right w:w="0" w:type="dxa"/>
          </w:tblCellMar>
        </w:tblPrEx>
        <w:trPr>
          <w:trHeight w:val="510" w:hRule="atLeast"/>
          <w:tblCellSpacing w:w="0" w:type="dxa"/>
        </w:trPr>
        <w:tc>
          <w:tcPr>
            <w:tcW w:w="199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高级中学</w:t>
            </w:r>
          </w:p>
        </w:tc>
        <w:tc>
          <w:tcPr>
            <w:tcW w:w="2105"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414"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089"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510" w:hRule="atLeast"/>
          <w:tblCellSpacing w:w="0" w:type="dxa"/>
        </w:trPr>
        <w:tc>
          <w:tcPr>
            <w:tcW w:w="199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中职文化课</w:t>
            </w:r>
          </w:p>
        </w:tc>
        <w:tc>
          <w:tcPr>
            <w:tcW w:w="2105"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414"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089"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510" w:hRule="atLeast"/>
          <w:tblCellSpacing w:w="0" w:type="dxa"/>
        </w:trPr>
        <w:tc>
          <w:tcPr>
            <w:tcW w:w="199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中职专业课</w:t>
            </w:r>
          </w:p>
        </w:tc>
        <w:tc>
          <w:tcPr>
            <w:tcW w:w="2105"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综合素质</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（中学）</w:t>
            </w:r>
          </w:p>
        </w:tc>
        <w:tc>
          <w:tcPr>
            <w:tcW w:w="2414"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教育知识与能力</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（中学）</w:t>
            </w:r>
          </w:p>
        </w:tc>
        <w:tc>
          <w:tcPr>
            <w:tcW w:w="2089"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525" w:hRule="atLeast"/>
          <w:tblCellSpacing w:w="0" w:type="dxa"/>
        </w:trPr>
        <w:tc>
          <w:tcPr>
            <w:tcW w:w="199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中职实习指导</w:t>
            </w:r>
          </w:p>
        </w:tc>
        <w:tc>
          <w:tcPr>
            <w:tcW w:w="2105"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414"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c>
          <w:tcPr>
            <w:tcW w:w="2089" w:type="dxa"/>
            <w:vMerge w:val="continue"/>
            <w:tcBorders>
              <w:bottom w:val="single" w:color="CCCCCC" w:sz="6" w:space="0"/>
              <w:right w:val="single" w:color="CCCCCC" w:sz="6" w:space="0"/>
            </w:tcBorders>
            <w:shd w:val="clear"/>
            <w:tcMar>
              <w:left w:w="150" w:type="dxa"/>
              <w:right w:w="150" w:type="dxa"/>
            </w:tcMar>
            <w:vAlign w:val="center"/>
          </w:tcPr>
          <w:p>
            <w:pPr>
              <w:jc w:val="center"/>
              <w:rPr>
                <w:rFonts w:hint="default" w:ascii="Arial" w:hAnsi="Arial" w:eastAsia="宋体" w:cs="Arial"/>
                <w:color w:val="333333"/>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jc w:val="left"/>
        <w:rPr>
          <w:rFonts w:hint="default" w:ascii="Verdana" w:hAnsi="Verdana" w:eastAsia="宋体" w:cs="Verdana"/>
          <w:color w:val="626262"/>
          <w:sz w:val="18"/>
          <w:szCs w:val="18"/>
        </w:rPr>
      </w:pPr>
      <w:r>
        <w:rPr>
          <w:rFonts w:hint="default" w:ascii="Verdana" w:hAnsi="Verdana" w:eastAsia="宋体" w:cs="Verdana"/>
          <w:color w:val="626262"/>
          <w:kern w:val="0"/>
          <w:sz w:val="18"/>
          <w:szCs w:val="18"/>
          <w:bdr w:val="none" w:color="auto" w:sz="0" w:space="0"/>
          <w:lang w:val="en-US" w:eastAsia="zh-CN" w:bidi="ar"/>
        </w:rPr>
        <w:t> </w:t>
      </w:r>
    </w:p>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（五）考试科目：</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1.幼儿园教师资格考试笔试科目共两科：科目一为《综合素质》，科目二为《保教知识与能力》。</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2.小学教师资格考试笔试科目共两科：科目一为《综合素质》，科目二为《教育教学知识与能力》。</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3.初级中学、高级中学教师资格考试笔试科目共三科：科目一为《综合素质》，科目二为《教育知识与能力》，科目三为《学科知识与教学能力》。</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4.初级中学《学科知识与教学能力》（科目三）分为语文、数学、英语、物理、化学、生物、思想品德、历史、地理、音乐、体育与健康、美术、信息技术、历史与社会、科学等15门科目；高级中学《学科知识与教学能力》（科目三）分为语文、数学、英语、物理、化学、生物、思想政治、历史、地理、音乐、体育与健康、美术、信息技术、通用技术等14门科目。</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5.申请中等职业学校文化课教师资格的人员参加高级中学教师资格考试。</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6.中等职业学校专业课教师和中等职业学校实习指导教师资格考试科目共三科：科目一为《综合素质》，科目二为《教育知识与能力》，科目三为《专业知识与教学能力》。其中科目三的考查结合面试环节进行，笔试中无需报考。</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中小学教师资格笔试考试科目及科目代码见（附件1）。</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（六）考试方式：笔试所有科目均采取纸笔考试。</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（七）打印准考证时间：10月31日至11月5日。</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（八）成绩查询时间：12月13日起。</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二、报考条件</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符合以下基本条件的人员，可以在黑龙江省报名参加中小学教师资格考试：</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（一）具有中华人民共和国国籍，未达到国家法定退休年龄，户籍或人事档案关系（须与用人单位签订一年以上聘用合同并缴纳保险）在黑龙江省的居民。</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（二）遵守宪法和法律，热爱教育事业，具有良好的思想品德；</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（三）符合申请认定教师资格的体检标准；</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（四）符合《教师法》规定的学历要求：</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1.申请认定小学教师资格人员必须具备中等师范学校毕业及其以上学历；</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2.申请认定初级中学教师资格人员必须具备大学专科毕业及其以上学历；</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3.申请认定高级中学教师资格和中等职业学校教师资格人员必须具备大学本科毕业及其以上学历；</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4.申请认定中等职业学校实习指导教师资格人员必须具备中等职业学校毕业及其以上学历，并具有相当助理工程师及其以上专业技术职务或者中级及其以上职业技能资格。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按照教育部的规定，未经省级教育行政部门核准并报教育部备案的中等职业学校学前教育、小学教育等教育类专业的毕业学历，不能作为申报幼儿园、小学教师资格考试的合格学历。</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（五）黑龙江省内普通高等学校在校三年级以上学生，可在就读学校所在地报考。</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（六）2016年以前入学的全日制普通院校师范类专业学生，可持毕业证书直接认定相应的教师资格。</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（七）被撤销教师资格的人员，5年内不得报名参加考试；受到剥夺政治权利，或故意犯罪受到有期徒刑以上刑事处罚的，不得报名参加考试。参加教师资格考试有作弊行为的，3年内不得再次参加教师资格考试。</w:t>
      </w: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18"/>
          <w:szCs w:val="18"/>
          <w:bdr w:val="none" w:color="auto" w:sz="0" w:space="0"/>
          <w:lang w:val="en-US" w:eastAsia="zh-CN" w:bidi="ar"/>
        </w:rPr>
        <w:t> </w:t>
      </w: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三、报名流程</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（一）网上报名</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第一步：登陆。登陆中小学教师资格考试网站（www.ntce.cn），点击“黑龙江”后进入报名页面。</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第二步：注册。考生注册（含以前参加过笔试的考生）时按系统要求填写姓名、选择证件类型、填写证件号码等信息。在完成注册后，按照流程如实填写个人信息、上传电子照片。考生上传的照片将打印在考生准考证、考场签到表上和教师资格考试合格证明等，照片不合格的考生审核将不能通过。</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照片要求：</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(1)本人近6个月以内的免冠正面证件彩色照；不允许带帽子、头巾、发带、墨镜；</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(2)照片格式大小：格式为jpg/jpeg，不大于200K；（建议使用Microsoft Office Picture Manager,图画, Photoshop, ACDsee等工具,将照片进行剪裁压缩）。</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(3)照片中显示考生头部和肩的上部；白色背景为佳。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第三步:报名。考生报名时须根据本人情况选择所在考区、考试类别和考试科目。填写完毕后检查核对本人信息，发现错漏及时修正，检查无误后提交网上审核。</w:t>
      </w:r>
      <w:r>
        <w:rPr>
          <w:rFonts w:hint="default" w:ascii="Verdana" w:hAnsi="Verdana" w:eastAsia="宋体" w:cs="Verdana"/>
          <w:color w:val="626262"/>
          <w:kern w:val="0"/>
          <w:sz w:val="21"/>
          <w:szCs w:val="21"/>
          <w:bdr w:val="none" w:color="auto" w:sz="0" w:space="0"/>
          <w:lang w:val="en-US" w:eastAsia="zh-CN" w:bidi="ar"/>
        </w:rPr>
        <w:br w:type="textWrapping"/>
      </w:r>
      <w:r>
        <w:rPr>
          <w:rStyle w:val="5"/>
          <w:rFonts w:hint="default" w:ascii="Verdana" w:hAnsi="Verdana" w:eastAsia="宋体" w:cs="Verdana"/>
          <w:color w:val="626262"/>
          <w:kern w:val="0"/>
          <w:sz w:val="21"/>
          <w:szCs w:val="21"/>
          <w:bdr w:val="none" w:color="auto" w:sz="0" w:space="0"/>
          <w:lang w:val="en-US" w:eastAsia="zh-CN" w:bidi="ar"/>
        </w:rPr>
        <w:t>考生网上报名时须注意：</w:t>
      </w:r>
      <w:r>
        <w:rPr>
          <w:rFonts w:hint="default" w:ascii="Verdana" w:hAnsi="Verdana" w:eastAsia="宋体" w:cs="Verdana"/>
          <w:color w:val="626262"/>
          <w:kern w:val="0"/>
          <w:sz w:val="21"/>
          <w:szCs w:val="21"/>
          <w:bdr w:val="none" w:color="auto" w:sz="0" w:space="0"/>
          <w:lang w:val="en-US" w:eastAsia="zh-CN" w:bidi="ar"/>
        </w:rPr>
        <w:br w:type="textWrapping"/>
      </w:r>
      <w:r>
        <w:rPr>
          <w:rStyle w:val="5"/>
          <w:rFonts w:hint="default" w:ascii="Verdana" w:hAnsi="Verdana" w:eastAsia="宋体" w:cs="Verdana"/>
          <w:color w:val="626262"/>
          <w:kern w:val="0"/>
          <w:sz w:val="21"/>
          <w:szCs w:val="21"/>
          <w:bdr w:val="none" w:color="auto" w:sz="0" w:space="0"/>
          <w:lang w:val="en-US" w:eastAsia="zh-CN" w:bidi="ar"/>
        </w:rPr>
        <w:t>1.新老考生（含以前参加过中小学教师资格考试笔试的考生）笔试报名前均需重新进行注册、填报个人信息和上传个人标准证件照片。重新注册操作不影响考生已获得的笔试成绩。注册时需要注意检查填写信息，特别是姓名、身份证号、照片信息的真实性、准确性和完整性，避免出现因前后信息不一致引起的笔试单科成绩无法保留问题。</w:t>
      </w:r>
      <w:r>
        <w:rPr>
          <w:rFonts w:hint="default" w:ascii="Verdana" w:hAnsi="Verdana" w:eastAsia="宋体" w:cs="Verdana"/>
          <w:color w:val="626262"/>
          <w:kern w:val="0"/>
          <w:sz w:val="21"/>
          <w:szCs w:val="21"/>
          <w:bdr w:val="none" w:color="auto" w:sz="0" w:space="0"/>
          <w:lang w:val="en-US" w:eastAsia="zh-CN" w:bidi="ar"/>
        </w:rPr>
        <w:br w:type="textWrapping"/>
      </w:r>
      <w:r>
        <w:rPr>
          <w:rStyle w:val="5"/>
          <w:rFonts w:hint="default" w:ascii="Verdana" w:hAnsi="Verdana" w:eastAsia="宋体" w:cs="Verdana"/>
          <w:color w:val="626262"/>
          <w:kern w:val="0"/>
          <w:sz w:val="21"/>
          <w:szCs w:val="21"/>
          <w:bdr w:val="none" w:color="auto" w:sz="0" w:space="0"/>
          <w:lang w:val="en-US" w:eastAsia="zh-CN" w:bidi="ar"/>
        </w:rPr>
        <w:t>2.考生须本人通过教师资格考试网上报名系统进行报名，并对本人所填报的个人信息和报考信息真实性负责。禁止培训机构或其他团体替代考生报名，如有违反而造成信息有误的，责任由考生本人承担。</w:t>
      </w:r>
      <w:r>
        <w:rPr>
          <w:rFonts w:hint="default" w:ascii="Verdana" w:hAnsi="Verdana" w:eastAsia="宋体" w:cs="Verdana"/>
          <w:color w:val="626262"/>
          <w:kern w:val="0"/>
          <w:sz w:val="21"/>
          <w:szCs w:val="21"/>
          <w:bdr w:val="none" w:color="auto" w:sz="0" w:space="0"/>
          <w:lang w:val="en-US" w:eastAsia="zh-CN" w:bidi="ar"/>
        </w:rPr>
        <w:br w:type="textWrapping"/>
      </w:r>
      <w:r>
        <w:rPr>
          <w:rStyle w:val="5"/>
          <w:rFonts w:hint="default" w:ascii="Verdana" w:hAnsi="Verdana" w:eastAsia="宋体" w:cs="Verdana"/>
          <w:color w:val="626262"/>
          <w:kern w:val="0"/>
          <w:sz w:val="21"/>
          <w:szCs w:val="21"/>
          <w:bdr w:val="none" w:color="auto" w:sz="0" w:space="0"/>
          <w:lang w:val="en-US" w:eastAsia="zh-CN" w:bidi="ar"/>
        </w:rPr>
        <w:t>3.考生应按户籍（或人事关系）、学籍关系（在校生）所在地就近选择考区。报名结束后，省招生考试院将根据各考区报名情况适当归并考区，考生须到准考证上规定的地点按时参加考试。</w:t>
      </w:r>
      <w:r>
        <w:rPr>
          <w:rFonts w:hint="default" w:ascii="Verdana" w:hAnsi="Verdana" w:eastAsia="宋体" w:cs="Verdana"/>
          <w:color w:val="626262"/>
          <w:kern w:val="0"/>
          <w:sz w:val="21"/>
          <w:szCs w:val="21"/>
          <w:bdr w:val="none" w:color="auto" w:sz="0" w:space="0"/>
          <w:lang w:val="en-US" w:eastAsia="zh-CN" w:bidi="ar"/>
        </w:rPr>
        <w:br w:type="textWrapping"/>
      </w:r>
      <w:r>
        <w:rPr>
          <w:rStyle w:val="5"/>
          <w:rFonts w:hint="default" w:ascii="Verdana" w:hAnsi="Verdana" w:eastAsia="宋体" w:cs="Verdana"/>
          <w:color w:val="626262"/>
          <w:kern w:val="0"/>
          <w:sz w:val="21"/>
          <w:szCs w:val="21"/>
          <w:bdr w:val="none" w:color="auto" w:sz="0" w:space="0"/>
          <w:lang w:val="en-US" w:eastAsia="zh-CN" w:bidi="ar"/>
        </w:rPr>
        <w:t>4.考生如忘记密码可通过报名系统提示操作，报名系统将把新的密码通过手机短信发送到考生报名时所填报的手机上。手机短信为考生重新获取密码的重要途径，在参加中小学教师资格报考期间，请考生慎重更换手机号码。</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（二）网上审核</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我省中小学教师资格笔试报名资格实行网上审核。考区将在考生提交报名信息后48小时内完成审核工作，审核内容包括考生应填报的项目是否齐全、姓名是否规范、照片是否符合要求，</w:t>
      </w:r>
      <w:r>
        <w:rPr>
          <w:rStyle w:val="5"/>
          <w:rFonts w:hint="default" w:ascii="Verdana" w:hAnsi="Verdana" w:eastAsia="宋体" w:cs="Verdana"/>
          <w:color w:val="626262"/>
          <w:kern w:val="0"/>
          <w:sz w:val="21"/>
          <w:szCs w:val="21"/>
          <w:bdr w:val="none" w:color="auto" w:sz="0" w:space="0"/>
          <w:lang w:val="en-US" w:eastAsia="zh-CN" w:bidi="ar"/>
        </w:rPr>
        <w:t>不负责对考生报名条件进行审核</w:t>
      </w:r>
      <w:r>
        <w:rPr>
          <w:rFonts w:hint="default" w:ascii="Verdana" w:hAnsi="Verdana" w:eastAsia="宋体" w:cs="Verdana"/>
          <w:color w:val="626262"/>
          <w:kern w:val="0"/>
          <w:sz w:val="21"/>
          <w:szCs w:val="21"/>
          <w:bdr w:val="none" w:color="auto" w:sz="0" w:space="0"/>
          <w:lang w:val="en-US" w:eastAsia="zh-CN" w:bidi="ar"/>
        </w:rPr>
        <w:t>。</w:t>
      </w:r>
      <w:r>
        <w:rPr>
          <w:rStyle w:val="5"/>
          <w:rFonts w:hint="default" w:ascii="Verdana" w:hAnsi="Verdana" w:eastAsia="宋体" w:cs="Verdana"/>
          <w:color w:val="626262"/>
          <w:kern w:val="0"/>
          <w:sz w:val="21"/>
          <w:szCs w:val="21"/>
          <w:bdr w:val="none" w:color="auto" w:sz="0" w:space="0"/>
          <w:lang w:val="en-US" w:eastAsia="zh-CN" w:bidi="ar"/>
        </w:rPr>
        <w:t>考生报名前必须认真阅读报名所需条件及相关文件规定，并对提供的报名信息和照片的真实性、准确性负全责。如果考生在不符合报名条件的情况下获得报名中小学教师资格考试笔试资格并通过笔试考试，由此产生的后果由考生本人承担。</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考生可于提交审核48小时内登录报名系统查询资格审核结果。审核未通过的考生须在审核时段内修改个人信息（重新上传照片或修改个人资料），重新选择报考类别、考区、考试科目，正确提交信息后才能恢复等待审核状态。超过审核期限仍未提交修改信息的将视为放弃报名。</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黑龙江省2016年下半年中小学教师资格考试（笔试）笔试考区咨询电话（附件2）。</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（三）网上缴费</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我省中小学教师资格笔试实行网上缴费。通过网上审核的考生于9月16日前，登录报名系统，按照提示进行网上缴费，缴费完成后即为报名成功。</w:t>
      </w:r>
      <w:r>
        <w:rPr>
          <w:rStyle w:val="5"/>
          <w:rFonts w:hint="default" w:ascii="Verdana" w:hAnsi="Verdana" w:eastAsia="宋体" w:cs="Verdana"/>
          <w:color w:val="626262"/>
          <w:kern w:val="0"/>
          <w:sz w:val="21"/>
          <w:szCs w:val="21"/>
          <w:bdr w:val="none" w:color="auto" w:sz="0" w:space="0"/>
          <w:lang w:val="en-US" w:eastAsia="zh-CN" w:bidi="ar"/>
        </w:rPr>
        <w:t>逾期不缴费的考生视为报名无效，不再补办。</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根据教育部《关于核定中小学教师资格考试考务费标准的通知》（教试中心函〔2013〕146号）及黑龙江省物价局和黑龙江省财政厅《关于重新核定我省中小学教师资格考试收费标准的批复》（黑价联〔2016〕37号）文件批复金额，核定黑龙江省中小学和幼儿园教师资格笔试共计收费标准为：每人每科70元。</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网上报名及缴费具体操作流程见附件3，网上可在线支付的银行列表见附件4。</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四、打印准考证</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报名成功的考生可与10月31日至11月5日登录中小学教师资格考试网（</w:t>
      </w:r>
      <w:r>
        <w:rPr>
          <w:rFonts w:hint="default" w:ascii="Verdana" w:hAnsi="Verdana" w:eastAsia="宋体" w:cs="Verdana"/>
          <w:color w:val="256EB1"/>
          <w:kern w:val="0"/>
          <w:sz w:val="21"/>
          <w:szCs w:val="21"/>
          <w:u w:val="none"/>
          <w:bdr w:val="none" w:color="auto" w:sz="0" w:space="0"/>
          <w:lang w:val="en-US" w:eastAsia="zh-CN" w:bidi="ar"/>
        </w:rPr>
        <w:fldChar w:fldCharType="begin"/>
      </w:r>
      <w:r>
        <w:rPr>
          <w:rFonts w:hint="default" w:ascii="Verdana" w:hAnsi="Verdana" w:eastAsia="宋体" w:cs="Verdana"/>
          <w:color w:val="256EB1"/>
          <w:kern w:val="0"/>
          <w:sz w:val="21"/>
          <w:szCs w:val="21"/>
          <w:u w:val="none"/>
          <w:bdr w:val="none" w:color="auto" w:sz="0" w:space="0"/>
          <w:lang w:val="en-US" w:eastAsia="zh-CN" w:bidi="ar"/>
        </w:rPr>
        <w:instrText xml:space="preserve"> HYPERLINK "http://www.ntce.cn/" </w:instrText>
      </w:r>
      <w:r>
        <w:rPr>
          <w:rFonts w:hint="default" w:ascii="Verdana" w:hAnsi="Verdana" w:eastAsia="宋体" w:cs="Verdana"/>
          <w:color w:val="256EB1"/>
          <w:kern w:val="0"/>
          <w:sz w:val="21"/>
          <w:szCs w:val="21"/>
          <w:u w:val="none"/>
          <w:bdr w:val="none" w:color="auto" w:sz="0" w:space="0"/>
          <w:lang w:val="en-US" w:eastAsia="zh-CN" w:bidi="ar"/>
        </w:rPr>
        <w:fldChar w:fldCharType="separate"/>
      </w:r>
      <w:r>
        <w:rPr>
          <w:rStyle w:val="7"/>
          <w:rFonts w:hint="default" w:ascii="Verdana" w:hAnsi="Verdana" w:eastAsia="宋体" w:cs="Verdana"/>
          <w:color w:val="256EB1"/>
          <w:sz w:val="21"/>
          <w:szCs w:val="21"/>
          <w:u w:val="none"/>
          <w:bdr w:val="none" w:color="auto" w:sz="0" w:space="0"/>
        </w:rPr>
        <w:t>www.ntce.cn</w:t>
      </w:r>
      <w:r>
        <w:rPr>
          <w:rFonts w:hint="default" w:ascii="Verdana" w:hAnsi="Verdana" w:eastAsia="宋体" w:cs="Verdana"/>
          <w:color w:val="256EB1"/>
          <w:kern w:val="0"/>
          <w:sz w:val="21"/>
          <w:szCs w:val="21"/>
          <w:u w:val="none"/>
          <w:bdr w:val="none" w:color="auto" w:sz="0" w:space="0"/>
          <w:lang w:val="en-US" w:eastAsia="zh-CN" w:bidi="ar"/>
        </w:rPr>
        <w:fldChar w:fldCharType="end"/>
      </w:r>
      <w:r>
        <w:rPr>
          <w:rFonts w:hint="default" w:ascii="Verdana" w:hAnsi="Verdana" w:eastAsia="宋体" w:cs="Verdana"/>
          <w:color w:val="626262"/>
          <w:kern w:val="0"/>
          <w:sz w:val="21"/>
          <w:szCs w:val="21"/>
          <w:bdr w:val="none" w:color="auto" w:sz="0" w:space="0"/>
          <w:lang w:val="en-US" w:eastAsia="zh-CN" w:bidi="ar"/>
        </w:rPr>
        <w:t>）自行下载并打印准考证，按照准考证上规定的时间、地点及要求参加考试。</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五、笔试成绩查询及复核</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12月13日起，考生可通过中小学教师资格考试网（</w:t>
      </w:r>
      <w:r>
        <w:rPr>
          <w:rFonts w:hint="default" w:ascii="Verdana" w:hAnsi="Verdana" w:eastAsia="宋体" w:cs="Verdana"/>
          <w:color w:val="256EB1"/>
          <w:kern w:val="0"/>
          <w:sz w:val="21"/>
          <w:szCs w:val="21"/>
          <w:u w:val="none"/>
          <w:bdr w:val="none" w:color="auto" w:sz="0" w:space="0"/>
          <w:lang w:val="en-US" w:eastAsia="zh-CN" w:bidi="ar"/>
        </w:rPr>
        <w:fldChar w:fldCharType="begin"/>
      </w:r>
      <w:r>
        <w:rPr>
          <w:rFonts w:hint="default" w:ascii="Verdana" w:hAnsi="Verdana" w:eastAsia="宋体" w:cs="Verdana"/>
          <w:color w:val="256EB1"/>
          <w:kern w:val="0"/>
          <w:sz w:val="21"/>
          <w:szCs w:val="21"/>
          <w:u w:val="none"/>
          <w:bdr w:val="none" w:color="auto" w:sz="0" w:space="0"/>
          <w:lang w:val="en-US" w:eastAsia="zh-CN" w:bidi="ar"/>
        </w:rPr>
        <w:instrText xml:space="preserve"> HYPERLINK "http://www.ntce.cn/" </w:instrText>
      </w:r>
      <w:r>
        <w:rPr>
          <w:rFonts w:hint="default" w:ascii="Verdana" w:hAnsi="Verdana" w:eastAsia="宋体" w:cs="Verdana"/>
          <w:color w:val="256EB1"/>
          <w:kern w:val="0"/>
          <w:sz w:val="21"/>
          <w:szCs w:val="21"/>
          <w:u w:val="none"/>
          <w:bdr w:val="none" w:color="auto" w:sz="0" w:space="0"/>
          <w:lang w:val="en-US" w:eastAsia="zh-CN" w:bidi="ar"/>
        </w:rPr>
        <w:fldChar w:fldCharType="separate"/>
      </w:r>
      <w:r>
        <w:rPr>
          <w:rStyle w:val="7"/>
          <w:rFonts w:hint="default" w:ascii="Verdana" w:hAnsi="Verdana" w:eastAsia="宋体" w:cs="Verdana"/>
          <w:color w:val="256EB1"/>
          <w:sz w:val="21"/>
          <w:szCs w:val="21"/>
          <w:u w:val="none"/>
          <w:bdr w:val="none" w:color="auto" w:sz="0" w:space="0"/>
        </w:rPr>
        <w:t>www.ntce.cn</w:t>
      </w:r>
      <w:r>
        <w:rPr>
          <w:rFonts w:hint="default" w:ascii="Verdana" w:hAnsi="Verdana" w:eastAsia="宋体" w:cs="Verdana"/>
          <w:color w:val="256EB1"/>
          <w:kern w:val="0"/>
          <w:sz w:val="21"/>
          <w:szCs w:val="21"/>
          <w:u w:val="none"/>
          <w:bdr w:val="none" w:color="auto" w:sz="0" w:space="0"/>
          <w:lang w:val="en-US" w:eastAsia="zh-CN" w:bidi="ar"/>
        </w:rPr>
        <w:fldChar w:fldCharType="end"/>
      </w:r>
      <w:r>
        <w:rPr>
          <w:rFonts w:hint="default" w:ascii="Verdana" w:hAnsi="Verdana" w:eastAsia="宋体" w:cs="Verdana"/>
          <w:color w:val="626262"/>
          <w:kern w:val="0"/>
          <w:sz w:val="21"/>
          <w:szCs w:val="21"/>
          <w:bdr w:val="none" w:color="auto" w:sz="0" w:space="0"/>
          <w:lang w:val="en-US" w:eastAsia="zh-CN" w:bidi="ar"/>
        </w:rPr>
        <w:t>）查询笔试成绩。</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考生如对本人的考试成绩有异议，可在考试成绩公布10个工作日内向黑龙江招生考试院提出复核申请，将“笔试成绩复核申请表”（附件5）发送至电子邮箱：jszgcjfh@126.com，由省招生考试院集中报送教育部考试中心统一复查。复核范围为漏登分、错累分、漏评卷，凡涉及评阅宽严尺度问题的一律不予复查。工作人员在受理复核申请后5个工作日内将通过电子邮件或电话向考生回复成绩复核结果。</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六、其它说明</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（一）笔试复习范围</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笔试实行全国统一命题、统一考试、统一划定合格线。笔试不指定统一教材，考生可通过国家中小学教师资格考试网（www.ntce.cn）下载《考试标准》和《考试大纲》，根据考试大纲知识点自行复习、备考。</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（二）关于持外省笔试成绩在我省报名参加考试的说明</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按照教育部教师资格认定指导中心《关于中小学和幼儿园教师资格考试成绩全国有效的通知》（教资字〔2012〕24号）要求，已在外省参加过全国中小学教师资格考试笔试且成绩合格的考生，在满足我省报考条件的前提下，持2年有效期内笔试成绩，可以在我省参加中小学教师资格考试，其合格科目可免考。</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（三）违规处理</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违规考生将按《国家教育考试违规处理办法》（教育部令第33号）严肃处理，情节严重的，将追究其法律责任。</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1.中小学教师资格笔试考试科目及科目代码</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2.黑龙江省2016年下半年中小学教师资格考试（笔试）考区咨询电话</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3.中小学教师资格考试（笔试）网上报名缴费流程图</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4.中小学教师资格考试（笔试）报名在线支付银行列表</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5.中小学教师资格（考试）笔试成绩复核申请表</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18"/>
          <w:szCs w:val="18"/>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jc w:val="right"/>
        <w:rPr>
          <w:rFonts w:hint="default" w:ascii="Verdana" w:hAnsi="Verdana" w:eastAsia="宋体" w:cs="Verdana"/>
          <w:color w:val="626262"/>
          <w:sz w:val="18"/>
          <w:szCs w:val="18"/>
        </w:rPr>
      </w:pPr>
      <w:r>
        <w:rPr>
          <w:rFonts w:hint="default" w:ascii="Verdana" w:hAnsi="Verdana" w:eastAsia="宋体" w:cs="Verdana"/>
          <w:color w:val="626262"/>
          <w:kern w:val="0"/>
          <w:sz w:val="21"/>
          <w:szCs w:val="21"/>
          <w:bdr w:val="none" w:color="auto" w:sz="0" w:space="0"/>
          <w:lang w:val="en-US" w:eastAsia="zh-CN" w:bidi="ar"/>
        </w:rPr>
        <w:t>                                黑龙江省招生考试院</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2016年8月30日</w:t>
      </w:r>
    </w:p>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附件1：</w:t>
      </w:r>
      <w:r>
        <w:rPr>
          <w:rStyle w:val="5"/>
          <w:rFonts w:hint="default" w:ascii="Verdana" w:hAnsi="Verdana" w:eastAsia="宋体" w:cs="Verdana"/>
          <w:color w:val="626262"/>
          <w:kern w:val="0"/>
          <w:sz w:val="21"/>
          <w:szCs w:val="21"/>
          <w:bdr w:val="none" w:color="auto" w:sz="0" w:space="0"/>
          <w:lang w:val="en-US" w:eastAsia="zh-CN" w:bidi="ar"/>
        </w:rPr>
        <w:t>中小学教师资格笔试科目代码列表</w:t>
      </w:r>
    </w:p>
    <w:tbl>
      <w:tblPr>
        <w:tblW w:w="8605" w:type="dxa"/>
        <w:tblCellSpacing w:w="0" w:type="dxa"/>
        <w:tblInd w:w="0" w:type="dxa"/>
        <w:shd w:val="clear"/>
        <w:tblLayout w:type="fixed"/>
        <w:tblCellMar>
          <w:top w:w="0" w:type="dxa"/>
          <w:left w:w="0" w:type="dxa"/>
          <w:bottom w:w="0" w:type="dxa"/>
          <w:right w:w="0" w:type="dxa"/>
        </w:tblCellMar>
      </w:tblPr>
      <w:tblGrid>
        <w:gridCol w:w="968"/>
        <w:gridCol w:w="4806"/>
        <w:gridCol w:w="857"/>
        <w:gridCol w:w="1974"/>
      </w:tblGrid>
      <w:tr>
        <w:tblPrEx>
          <w:shd w:val="clear"/>
          <w:tblLayout w:type="fixed"/>
          <w:tblCellMar>
            <w:top w:w="0" w:type="dxa"/>
            <w:left w:w="0" w:type="dxa"/>
            <w:bottom w:w="0" w:type="dxa"/>
            <w:right w:w="0" w:type="dxa"/>
          </w:tblCellMar>
        </w:tblPrEx>
        <w:trPr>
          <w:trHeight w:val="705"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序号</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科目名称</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科目</w:t>
            </w:r>
            <w:r>
              <w:rPr>
                <w:rFonts w:hint="default" w:ascii="Arial" w:hAnsi="Arial" w:eastAsia="宋体" w:cs="Arial"/>
                <w:color w:val="333333"/>
                <w:kern w:val="0"/>
                <w:sz w:val="21"/>
                <w:szCs w:val="21"/>
                <w:bdr w:val="none" w:color="auto" w:sz="0" w:space="0"/>
                <w:lang w:val="en-US" w:eastAsia="zh-CN" w:bidi="ar"/>
              </w:rPr>
              <w:br w:type="textWrapping"/>
            </w:r>
            <w:r>
              <w:rPr>
                <w:rStyle w:val="5"/>
                <w:rFonts w:hint="default" w:ascii="Arial" w:hAnsi="Arial" w:eastAsia="宋体" w:cs="Arial"/>
                <w:color w:val="333333"/>
                <w:kern w:val="0"/>
                <w:sz w:val="21"/>
                <w:szCs w:val="21"/>
                <w:bdr w:val="none" w:color="auto" w:sz="0" w:space="0"/>
                <w:lang w:val="en-US" w:eastAsia="zh-CN" w:bidi="ar"/>
              </w:rPr>
              <w:t>代码</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备注</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（一）</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幼儿园</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综合素质（幼儿园）</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101</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保教知识与能力</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102</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（二）</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小学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综合素质（小学）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201</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教育教学知识与能力</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202</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（三）</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初中</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综合素质（中学）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301</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初中、高中相同</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教育知识与能力</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302</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初中、高中相同</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语文学科知识与教学能力（初级中学）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303</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数学学科知识与教学能力（初级中学）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304</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英语学科知识与教学能力（初级中学）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305</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物理学科知识与教学能力（初级中学）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306</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7        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化学学科知识与教学能力（初级中学）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307</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8        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生物学科知识与教学能力（初级中学）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308</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9        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思想品德学科知识与教学能力（初级中学）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309</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10     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历史学科知识与教学能力（初级中学）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310</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11     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地理学科知识与教学能力（初级中学）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311</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12     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音乐学科知识与教学能力（初级中学）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312</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13     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体育与健康学科知识与教学能力（初级中学）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313</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14     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美术学科知识与教学能力（初级中学）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314</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15     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信息技术学科知识与教学能力（初级中学）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315</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16     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历史与社会学科知识与教学能力（初级中学）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316</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17     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科学学科知识与教学能力（初级中学）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317</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（四）</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高中</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综合素质（中学）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301</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初中、高中相同</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2        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教育知识与能力</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302</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初中、高中相同</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3        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语文学科知识与教学能力（高级中学）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403</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数学学科知识与教学能力（高级中学）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404</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5        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英语学科知识与教学能力（高级中学）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405</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6        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物理学科知识与教学能力（高级中学）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406</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7        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化学学科知识与教学能力（高级中学）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407</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8        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生物学科知识与教学能力（高级中学）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408</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9        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思想政治学科知识与教学能力（高级中学）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409</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10     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历史学科知识与教学能力（高级中学）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410</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11     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地理学科知识与教学能力（高级中学）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411</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12     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音乐学科知识与教学能力（高级中学）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412</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13     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体育与健康学科知识与教学能力（高级中学）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413</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14     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美术学科知识与教学能力（高级中学）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414</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495"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15     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信息技术学科知识与教学能力（高级中学）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415</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495" w:hRule="atLeast"/>
          <w:tblCellSpacing w:w="0" w:type="dxa"/>
        </w:trPr>
        <w:tc>
          <w:tcPr>
            <w:tcW w:w="96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16     </w:t>
            </w:r>
          </w:p>
        </w:tc>
        <w:tc>
          <w:tcPr>
            <w:tcW w:w="480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通用技术学科知识与教学能力（高级中学）</w:t>
            </w:r>
          </w:p>
        </w:tc>
        <w:tc>
          <w:tcPr>
            <w:tcW w:w="85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418</w:t>
            </w:r>
          </w:p>
        </w:tc>
        <w:tc>
          <w:tcPr>
            <w:tcW w:w="19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center"/>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jc w:val="left"/>
        <w:rPr>
          <w:rFonts w:hint="default" w:ascii="Verdana" w:hAnsi="Verdana" w:eastAsia="宋体" w:cs="Verdana"/>
          <w:color w:val="626262"/>
          <w:sz w:val="18"/>
          <w:szCs w:val="18"/>
        </w:rPr>
      </w:pPr>
      <w:r>
        <w:rPr>
          <w:rFonts w:hint="default" w:ascii="Verdana" w:hAnsi="Verdana" w:eastAsia="宋体" w:cs="Verdana"/>
          <w:color w:val="626262"/>
          <w:kern w:val="0"/>
          <w:sz w:val="18"/>
          <w:szCs w:val="18"/>
          <w:bdr w:val="none" w:color="auto" w:sz="0" w:space="0"/>
          <w:lang w:val="en-US" w:eastAsia="zh-CN" w:bidi="ar"/>
        </w:rPr>
        <w:t> </w:t>
      </w:r>
    </w:p>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附件2：</w:t>
      </w:r>
      <w:r>
        <w:rPr>
          <w:rStyle w:val="5"/>
          <w:rFonts w:hint="default" w:ascii="Verdana" w:hAnsi="Verdana" w:eastAsia="宋体" w:cs="Verdana"/>
          <w:color w:val="626262"/>
          <w:kern w:val="0"/>
          <w:sz w:val="21"/>
          <w:szCs w:val="21"/>
          <w:bdr w:val="none" w:color="auto" w:sz="0" w:space="0"/>
          <w:lang w:val="en-US" w:eastAsia="zh-CN" w:bidi="ar"/>
        </w:rPr>
        <w:t>黑龙江省2016年下半年中小学教师资格考试（笔试）考区咨询电话</w:t>
      </w:r>
      <w:r>
        <w:rPr>
          <w:rFonts w:hint="default" w:ascii="Verdana" w:hAnsi="Verdana" w:eastAsia="宋体" w:cs="Verdana"/>
          <w:color w:val="626262"/>
          <w:kern w:val="0"/>
          <w:sz w:val="21"/>
          <w:szCs w:val="21"/>
          <w:bdr w:val="none" w:color="auto" w:sz="0" w:space="0"/>
          <w:lang w:val="en-US" w:eastAsia="zh-CN" w:bidi="ar"/>
        </w:rPr>
        <w:t> </w:t>
      </w:r>
    </w:p>
    <w:tbl>
      <w:tblPr>
        <w:tblW w:w="8605" w:type="dxa"/>
        <w:tblCellSpacing w:w="0" w:type="dxa"/>
        <w:tblInd w:w="0" w:type="dxa"/>
        <w:shd w:val="clear"/>
        <w:tblLayout w:type="fixed"/>
        <w:tblCellMar>
          <w:top w:w="0" w:type="dxa"/>
          <w:left w:w="0" w:type="dxa"/>
          <w:bottom w:w="0" w:type="dxa"/>
          <w:right w:w="0" w:type="dxa"/>
        </w:tblCellMar>
      </w:tblPr>
      <w:tblGrid>
        <w:gridCol w:w="1867"/>
        <w:gridCol w:w="4572"/>
        <w:gridCol w:w="2166"/>
      </w:tblGrid>
      <w:tr>
        <w:tblPrEx>
          <w:shd w:val="clear"/>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考区名称</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单位名称</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咨询电话</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哈尔滨道里区</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道里区招生考试委员会办公室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(0451)84615470</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哈尔滨道外区</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道外区招生考试委员会办公室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(0451)88953355</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哈尔滨南岗区</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南岗区招生考试委员会办公室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(0451)53664440</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哈尔滨香坊区</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香坊区招生考试委员会办公室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(0451)87557683</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齐齐哈尔</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齐齐哈尔市龙沙区招生考试中心</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(0452)2428254</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牡丹江</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牡丹江市招生考试委员会办公室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(0453)6986075</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佳木斯</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佳木斯市招生考试委员会办公室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(0454)8635680</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鸡西</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鸡西市招生考试委员会办公室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(0467)2665513</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双鸭山</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双鸭山市招生考试委员会办公室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(0469)4284151</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鹤岗</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鹤岗市招生考试委员会办公室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(0468)3593571</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大庆</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大庆市招生考试委员会办公室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(0459)4662111</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伊春</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伊春市招生考试委员会办公室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(0458)3878473</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七台河</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七台河市招生考试委员会办公室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(0464)8270191</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绥化</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绥化市招生考试委员会办公室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(0455)8225299</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黑河</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黑河市招生考试委员会办公室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(0456)8206668</w:t>
            </w:r>
          </w:p>
        </w:tc>
      </w:tr>
      <w:tr>
        <w:tblPrEx>
          <w:tblLayout w:type="fixed"/>
          <w:tblCellMar>
            <w:top w:w="0" w:type="dxa"/>
            <w:left w:w="0" w:type="dxa"/>
            <w:bottom w:w="0" w:type="dxa"/>
            <w:right w:w="0" w:type="dxa"/>
          </w:tblCellMar>
        </w:tblPrEx>
        <w:trPr>
          <w:tblCellSpacing w:w="0" w:type="dxa"/>
        </w:trPr>
        <w:tc>
          <w:tcPr>
            <w:tcW w:w="1867"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大兴安岭</w:t>
            </w:r>
          </w:p>
        </w:tc>
        <w:tc>
          <w:tcPr>
            <w:tcW w:w="457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大兴安岭（行署）招生考试委员会办公室</w:t>
            </w:r>
          </w:p>
        </w:tc>
        <w:tc>
          <w:tcPr>
            <w:tcW w:w="216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(0457)2712597</w:t>
            </w:r>
          </w:p>
        </w:tc>
      </w:tr>
    </w:tbl>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附件3：</w:t>
      </w:r>
      <w:r>
        <w:rPr>
          <w:rStyle w:val="5"/>
          <w:rFonts w:hint="default" w:ascii="Verdana" w:hAnsi="Verdana" w:eastAsia="宋体" w:cs="Verdana"/>
          <w:color w:val="626262"/>
          <w:kern w:val="0"/>
          <w:sz w:val="21"/>
          <w:szCs w:val="21"/>
          <w:bdr w:val="none" w:color="auto" w:sz="0" w:space="0"/>
          <w:lang w:val="en-US" w:eastAsia="zh-CN" w:bidi="ar"/>
        </w:rPr>
        <w:t>中小学教师资格考试（笔试）网上报名缴费流程图</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18"/>
          <w:szCs w:val="18"/>
          <w:bdr w:val="none" w:color="auto" w:sz="0" w:space="0"/>
          <w:lang w:val="en-US" w:eastAsia="zh-CN" w:bidi="ar"/>
        </w:rPr>
        <w:br w:type="textWrapping"/>
      </w:r>
      <w:r>
        <w:rPr>
          <w:rFonts w:hint="default" w:ascii="Verdana" w:hAnsi="Verdana" w:eastAsia="宋体" w:cs="Verdana"/>
          <w:color w:val="626262"/>
          <w:kern w:val="0"/>
          <w:sz w:val="18"/>
          <w:szCs w:val="18"/>
          <w:lang w:val="en-US" w:eastAsia="zh-CN" w:bidi="ar"/>
        </w:rPr>
        <w:fldChar w:fldCharType="begin"/>
      </w:r>
      <w:r>
        <w:rPr>
          <w:rFonts w:hint="default" w:ascii="Verdana" w:hAnsi="Verdana" w:eastAsia="宋体" w:cs="Verdana"/>
          <w:color w:val="626262"/>
          <w:kern w:val="0"/>
          <w:sz w:val="18"/>
          <w:szCs w:val="18"/>
          <w:lang w:val="en-US" w:eastAsia="zh-CN" w:bidi="ar"/>
        </w:rPr>
        <w:instrText xml:space="preserve">INCLUDEPICTURE \d "http://www.ntce.cn/uploads/allimg/160831/10-160S11G335V0.png" \* MERGEFORMATINET </w:instrText>
      </w:r>
      <w:r>
        <w:rPr>
          <w:rFonts w:hint="default" w:ascii="Verdana" w:hAnsi="Verdana" w:eastAsia="宋体" w:cs="Verdana"/>
          <w:color w:val="626262"/>
          <w:kern w:val="0"/>
          <w:sz w:val="18"/>
          <w:szCs w:val="18"/>
          <w:lang w:val="en-US" w:eastAsia="zh-CN" w:bidi="ar"/>
        </w:rPr>
        <w:fldChar w:fldCharType="separate"/>
      </w:r>
      <w:r>
        <w:rPr>
          <w:rFonts w:hint="default" w:ascii="Verdana" w:hAnsi="Verdana" w:eastAsia="宋体" w:cs="Verdana"/>
          <w:color w:val="626262"/>
          <w:kern w:val="0"/>
          <w:sz w:val="18"/>
          <w:szCs w:val="18"/>
          <w:lang w:val="en-US" w:eastAsia="zh-CN" w:bidi="ar"/>
        </w:rPr>
        <w:drawing>
          <wp:inline distT="0" distB="0" distL="114300" distR="114300">
            <wp:extent cx="6238875" cy="10732135"/>
            <wp:effectExtent l="0" t="0" r="9525" b="1206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4"/>
                    <a:stretch>
                      <a:fillRect/>
                    </a:stretch>
                  </pic:blipFill>
                  <pic:spPr>
                    <a:xfrm>
                      <a:off x="0" y="0"/>
                      <a:ext cx="6238875" cy="10732135"/>
                    </a:xfrm>
                    <a:prstGeom prst="rect">
                      <a:avLst/>
                    </a:prstGeom>
                    <a:noFill/>
                    <a:ln w="9525">
                      <a:noFill/>
                    </a:ln>
                  </pic:spPr>
                </pic:pic>
              </a:graphicData>
            </a:graphic>
          </wp:inline>
        </w:drawing>
      </w:r>
      <w:r>
        <w:rPr>
          <w:rFonts w:hint="default" w:ascii="Verdana" w:hAnsi="Verdana" w:eastAsia="宋体" w:cs="Verdana"/>
          <w:color w:val="626262"/>
          <w:kern w:val="0"/>
          <w:sz w:val="18"/>
          <w:szCs w:val="18"/>
          <w:lang w:val="en-US" w:eastAsia="zh-CN" w:bidi="ar"/>
        </w:rPr>
        <w:fldChar w:fldCharType="end"/>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附件4：</w:t>
      </w:r>
      <w:r>
        <w:rPr>
          <w:rStyle w:val="5"/>
          <w:rFonts w:hint="default" w:ascii="Verdana" w:hAnsi="Verdana" w:eastAsia="宋体" w:cs="Verdana"/>
          <w:color w:val="626262"/>
          <w:kern w:val="0"/>
          <w:sz w:val="21"/>
          <w:szCs w:val="21"/>
          <w:bdr w:val="none" w:color="auto" w:sz="0" w:space="0"/>
          <w:lang w:val="en-US" w:eastAsia="zh-CN" w:bidi="ar"/>
        </w:rPr>
        <w:t>中小学教师资格考试（笔试）报名在线支付银行列表</w:t>
      </w:r>
    </w:p>
    <w:tbl>
      <w:tblPr>
        <w:tblW w:w="8605" w:type="dxa"/>
        <w:tblCellSpacing w:w="0" w:type="dxa"/>
        <w:tblInd w:w="0" w:type="dxa"/>
        <w:shd w:val="clear"/>
        <w:tblLayout w:type="fixed"/>
        <w:tblCellMar>
          <w:top w:w="0" w:type="dxa"/>
          <w:left w:w="0" w:type="dxa"/>
          <w:bottom w:w="0" w:type="dxa"/>
          <w:right w:w="0" w:type="dxa"/>
        </w:tblCellMar>
      </w:tblPr>
      <w:tblGrid>
        <w:gridCol w:w="1759"/>
        <w:gridCol w:w="6846"/>
      </w:tblGrid>
      <w:tr>
        <w:tblPrEx>
          <w:shd w:val="clear"/>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序 号</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银行名称</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招商银行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2</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建设银行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3</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工商银行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4</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平安银行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5</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民生银行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6</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兴业银行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7</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农业银行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8</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广东发展银行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9</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北京银行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10</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邮政银行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11</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华夏银行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12</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交通银行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13</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浦发银行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14</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光大银行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15</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北京农村商业银行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16</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渤海银行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17</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中信银行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18</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中国银行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19</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上海银行</w:t>
            </w:r>
          </w:p>
        </w:tc>
      </w:tr>
      <w:tr>
        <w:tblPrEx>
          <w:tblLayout w:type="fixed"/>
          <w:tblCellMar>
            <w:top w:w="0" w:type="dxa"/>
            <w:left w:w="0" w:type="dxa"/>
            <w:bottom w:w="0" w:type="dxa"/>
            <w:right w:w="0" w:type="dxa"/>
          </w:tblCellMar>
        </w:tblPrEx>
        <w:trPr>
          <w:tblCellSpacing w:w="0" w:type="dxa"/>
        </w:trPr>
        <w:tc>
          <w:tcPr>
            <w:tcW w:w="175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20</w:t>
            </w:r>
          </w:p>
        </w:tc>
        <w:tc>
          <w:tcPr>
            <w:tcW w:w="684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银联支付</w:t>
            </w:r>
          </w:p>
        </w:tc>
      </w:tr>
    </w:tbl>
    <w:p>
      <w:pPr>
        <w:keepNext w:val="0"/>
        <w:keepLines w:val="0"/>
        <w:widowControl/>
        <w:suppressLineNumbers w:val="0"/>
        <w:jc w:val="left"/>
      </w:pP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附件5：</w:t>
      </w:r>
      <w:r>
        <w:rPr>
          <w:rStyle w:val="5"/>
          <w:rFonts w:hint="default" w:ascii="Verdana" w:hAnsi="Verdana" w:eastAsia="宋体" w:cs="Verdana"/>
          <w:color w:val="626262"/>
          <w:kern w:val="0"/>
          <w:sz w:val="21"/>
          <w:szCs w:val="21"/>
          <w:bdr w:val="none" w:color="auto" w:sz="0" w:space="0"/>
          <w:lang w:val="en-US" w:eastAsia="zh-CN" w:bidi="ar"/>
        </w:rPr>
        <w:t>中小学教师资格考试（笔试）成绩复核申请表</w:t>
      </w:r>
      <w:r>
        <w:rPr>
          <w:rFonts w:hint="default" w:ascii="Verdana" w:hAnsi="Verdana" w:eastAsia="宋体" w:cs="Verdana"/>
          <w:color w:val="626262"/>
          <w:kern w:val="0"/>
          <w:sz w:val="21"/>
          <w:szCs w:val="21"/>
          <w:bdr w:val="none" w:color="auto" w:sz="0" w:space="0"/>
          <w:lang w:val="en-US" w:eastAsia="zh-CN" w:bidi="ar"/>
        </w:rPr>
        <w:br w:type="textWrapping"/>
      </w:r>
      <w:r>
        <w:rPr>
          <w:rFonts w:hint="default" w:ascii="Verdana" w:hAnsi="Verdana" w:eastAsia="宋体" w:cs="Verdana"/>
          <w:color w:val="626262"/>
          <w:kern w:val="0"/>
          <w:sz w:val="21"/>
          <w:szCs w:val="21"/>
          <w:bdr w:val="none" w:color="auto" w:sz="0" w:space="0"/>
          <w:lang w:val="en-US" w:eastAsia="zh-CN" w:bidi="ar"/>
        </w:rPr>
        <w:t> </w:t>
      </w:r>
      <w:r>
        <w:rPr>
          <w:rFonts w:hint="default" w:ascii="Verdana" w:hAnsi="Verdana" w:eastAsia="宋体" w:cs="Verdana"/>
          <w:color w:val="626262"/>
          <w:kern w:val="0"/>
          <w:sz w:val="21"/>
          <w:szCs w:val="21"/>
          <w:bdr w:val="none" w:color="auto" w:sz="0" w:space="0"/>
          <w:lang w:val="en-US" w:eastAsia="zh-CN" w:bidi="ar"/>
        </w:rPr>
        <w:br w:type="textWrapping"/>
      </w:r>
      <w:r>
        <w:rPr>
          <w:rStyle w:val="5"/>
          <w:rFonts w:hint="default" w:ascii="Verdana" w:hAnsi="Verdana" w:eastAsia="宋体" w:cs="Verdana"/>
          <w:color w:val="626262"/>
          <w:kern w:val="0"/>
          <w:sz w:val="21"/>
          <w:szCs w:val="21"/>
          <w:bdr w:val="none" w:color="auto" w:sz="0" w:space="0"/>
          <w:lang w:val="en-US" w:eastAsia="zh-CN" w:bidi="ar"/>
        </w:rPr>
        <w:t>申请日期</w:t>
      </w:r>
    </w:p>
    <w:tbl>
      <w:tblPr>
        <w:tblW w:w="8603" w:type="dxa"/>
        <w:tblCellSpacing w:w="0" w:type="dxa"/>
        <w:tblInd w:w="15" w:type="dxa"/>
        <w:tblBorders>
          <w:top w:val="single" w:color="CCCCCC" w:sz="6" w:space="0"/>
          <w:left w:val="single" w:color="CCCCCC"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201"/>
        <w:gridCol w:w="1569"/>
        <w:gridCol w:w="1774"/>
        <w:gridCol w:w="1216"/>
        <w:gridCol w:w="1245"/>
        <w:gridCol w:w="1598"/>
      </w:tblGrid>
      <w:tr>
        <w:tblPrEx>
          <w:tblBorders>
            <w:top w:val="single" w:color="CCCCCC" w:sz="6" w:space="0"/>
            <w:left w:val="single" w:color="CCCCCC"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20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准考证号</w:t>
            </w:r>
          </w:p>
        </w:tc>
        <w:tc>
          <w:tcPr>
            <w:tcW w:w="156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姓名</w:t>
            </w:r>
          </w:p>
        </w:tc>
        <w:tc>
          <w:tcPr>
            <w:tcW w:w="1774"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身份证号</w:t>
            </w:r>
          </w:p>
        </w:tc>
        <w:tc>
          <w:tcPr>
            <w:tcW w:w="12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复核</w:t>
            </w:r>
            <w:r>
              <w:rPr>
                <w:rFonts w:hint="default" w:ascii="Arial" w:hAnsi="Arial" w:eastAsia="宋体" w:cs="Arial"/>
                <w:color w:val="333333"/>
                <w:kern w:val="0"/>
                <w:sz w:val="21"/>
                <w:szCs w:val="21"/>
                <w:bdr w:val="none" w:color="auto" w:sz="0" w:space="0"/>
                <w:lang w:val="en-US" w:eastAsia="zh-CN" w:bidi="ar"/>
              </w:rPr>
              <w:br w:type="textWrapping"/>
            </w:r>
            <w:r>
              <w:rPr>
                <w:rStyle w:val="5"/>
                <w:rFonts w:hint="default" w:ascii="Arial" w:hAnsi="Arial" w:eastAsia="宋体" w:cs="Arial"/>
                <w:color w:val="333333"/>
                <w:kern w:val="0"/>
                <w:sz w:val="21"/>
                <w:szCs w:val="21"/>
                <w:bdr w:val="none" w:color="auto" w:sz="0" w:space="0"/>
                <w:lang w:val="en-US" w:eastAsia="zh-CN" w:bidi="ar"/>
              </w:rPr>
              <w:t>科目代码</w:t>
            </w:r>
          </w:p>
        </w:tc>
        <w:tc>
          <w:tcPr>
            <w:tcW w:w="124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网站</w:t>
            </w:r>
            <w:r>
              <w:rPr>
                <w:rFonts w:hint="default" w:ascii="Arial" w:hAnsi="Arial" w:eastAsia="宋体" w:cs="Arial"/>
                <w:color w:val="333333"/>
                <w:kern w:val="0"/>
                <w:sz w:val="21"/>
                <w:szCs w:val="21"/>
                <w:bdr w:val="none" w:color="auto" w:sz="0" w:space="0"/>
                <w:lang w:val="en-US" w:eastAsia="zh-CN" w:bidi="ar"/>
              </w:rPr>
              <w:br w:type="textWrapping"/>
            </w:r>
            <w:r>
              <w:rPr>
                <w:rStyle w:val="5"/>
                <w:rFonts w:hint="default" w:ascii="Arial" w:hAnsi="Arial" w:eastAsia="宋体" w:cs="Arial"/>
                <w:color w:val="333333"/>
                <w:kern w:val="0"/>
                <w:sz w:val="21"/>
                <w:szCs w:val="21"/>
                <w:bdr w:val="none" w:color="auto" w:sz="0" w:space="0"/>
                <w:lang w:val="en-US" w:eastAsia="zh-CN" w:bidi="ar"/>
              </w:rPr>
              <w:t>查询分数</w:t>
            </w:r>
          </w:p>
        </w:tc>
        <w:tc>
          <w:tcPr>
            <w:tcW w:w="1598"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联系电话</w:t>
            </w:r>
          </w:p>
        </w:tc>
      </w:tr>
      <w:tr>
        <w:tblPrEx>
          <w:tblBorders>
            <w:top w:val="single" w:color="CCCCCC" w:sz="6" w:space="0"/>
            <w:left w:val="single" w:color="CCCCCC"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201"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569"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774"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2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24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598"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Borders>
            <w:top w:val="single" w:color="CCCCCC" w:sz="6" w:space="0"/>
            <w:left w:val="single" w:color="CCCCCC"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201"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569"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774"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2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24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59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Borders>
            <w:top w:val="single" w:color="CCCCCC" w:sz="6" w:space="0"/>
            <w:left w:val="single" w:color="CCCCCC"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201"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569"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774"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216"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24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c>
          <w:tcPr>
            <w:tcW w:w="1598"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Borders>
            <w:top w:val="single" w:color="CCCCCC" w:sz="6" w:space="0"/>
            <w:left w:val="single" w:color="CCCCCC"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20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5"/>
                <w:rFonts w:hint="default" w:ascii="Arial" w:hAnsi="Arial" w:eastAsia="宋体" w:cs="Arial"/>
                <w:color w:val="333333"/>
                <w:kern w:val="0"/>
                <w:sz w:val="21"/>
                <w:szCs w:val="21"/>
                <w:bdr w:val="none" w:color="auto" w:sz="0" w:space="0"/>
                <w:lang w:val="en-US" w:eastAsia="zh-CN" w:bidi="ar"/>
              </w:rPr>
              <w:t>电子邮箱</w:t>
            </w:r>
          </w:p>
        </w:tc>
        <w:tc>
          <w:tcPr>
            <w:tcW w:w="7402" w:type="dxa"/>
            <w:gridSpan w:val="5"/>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bl>
    <w:p>
      <w:pPr>
        <w:keepNext w:val="0"/>
        <w:keepLines w:val="0"/>
        <w:widowControl/>
        <w:suppressLineNumbers w:val="0"/>
        <w:jc w:val="left"/>
      </w:pPr>
      <w:r>
        <w:rPr>
          <w:rStyle w:val="5"/>
          <w:rFonts w:hint="default" w:ascii="Verdana" w:hAnsi="Verdana" w:eastAsia="宋体" w:cs="Verdana"/>
          <w:color w:val="626262"/>
          <w:kern w:val="0"/>
          <w:sz w:val="21"/>
          <w:szCs w:val="21"/>
          <w:bdr w:val="none" w:color="auto" w:sz="0" w:space="0"/>
          <w:lang w:val="en-US" w:eastAsia="zh-CN" w:bidi="ar"/>
        </w:rPr>
        <w:t>备注</w:t>
      </w:r>
      <w:r>
        <w:rPr>
          <w:rFonts w:hint="default" w:ascii="Verdana" w:hAnsi="Verdana" w:eastAsia="宋体" w:cs="Verdana"/>
          <w:color w:val="626262"/>
          <w:kern w:val="0"/>
          <w:sz w:val="21"/>
          <w:szCs w:val="21"/>
          <w:bdr w:val="none" w:color="auto" w:sz="0" w:space="0"/>
          <w:lang w:val="en-US" w:eastAsia="zh-CN" w:bidi="ar"/>
        </w:rPr>
        <w:br w:type="textWrapping"/>
      </w:r>
      <w:r>
        <w:rPr>
          <w:rStyle w:val="5"/>
          <w:rFonts w:hint="default" w:ascii="Verdana" w:hAnsi="Verdana" w:eastAsia="宋体" w:cs="Verdana"/>
          <w:color w:val="626262"/>
          <w:kern w:val="0"/>
          <w:sz w:val="21"/>
          <w:szCs w:val="21"/>
          <w:bdr w:val="none" w:color="auto" w:sz="0" w:space="0"/>
          <w:lang w:val="en-US" w:eastAsia="zh-CN" w:bidi="ar"/>
        </w:rPr>
        <w:t xml:space="preserve">1.    </w:t>
      </w:r>
      <w:r>
        <w:rPr>
          <w:rFonts w:hint="default" w:ascii="Verdana" w:hAnsi="Verdana" w:eastAsia="宋体" w:cs="Verdana"/>
          <w:color w:val="626262"/>
          <w:kern w:val="0"/>
          <w:sz w:val="21"/>
          <w:szCs w:val="21"/>
          <w:bdr w:val="none" w:color="auto" w:sz="0" w:space="0"/>
          <w:lang w:val="en-US" w:eastAsia="zh-CN" w:bidi="ar"/>
        </w:rPr>
        <w:t>要求成绩复核的考生可在考试成绩公布10个工作日内认真填写此表并</w:t>
      </w:r>
      <w:r>
        <w:rPr>
          <w:rFonts w:hint="default" w:ascii="Verdana" w:hAnsi="Verdana" w:eastAsia="宋体" w:cs="Verdana"/>
          <w:color w:val="256EB1"/>
          <w:kern w:val="0"/>
          <w:sz w:val="21"/>
          <w:szCs w:val="21"/>
          <w:u w:val="none"/>
          <w:bdr w:val="none" w:color="auto" w:sz="0" w:space="0"/>
          <w:lang w:val="en-US" w:eastAsia="zh-CN" w:bidi="ar"/>
        </w:rPr>
        <w:fldChar w:fldCharType="begin"/>
      </w:r>
      <w:r>
        <w:rPr>
          <w:rFonts w:hint="default" w:ascii="Verdana" w:hAnsi="Verdana" w:eastAsia="宋体" w:cs="Verdana"/>
          <w:color w:val="256EB1"/>
          <w:kern w:val="0"/>
          <w:sz w:val="21"/>
          <w:szCs w:val="21"/>
          <w:u w:val="none"/>
          <w:bdr w:val="none" w:color="auto" w:sz="0" w:space="0"/>
          <w:lang w:val="en-US" w:eastAsia="zh-CN" w:bidi="ar"/>
        </w:rPr>
        <w:instrText xml:space="preserve"> HYPERLINK "mailto:上传至jszgcjfh@126.com" </w:instrText>
      </w:r>
      <w:r>
        <w:rPr>
          <w:rFonts w:hint="default" w:ascii="Verdana" w:hAnsi="Verdana" w:eastAsia="宋体" w:cs="Verdana"/>
          <w:color w:val="256EB1"/>
          <w:kern w:val="0"/>
          <w:sz w:val="21"/>
          <w:szCs w:val="21"/>
          <w:u w:val="none"/>
          <w:bdr w:val="none" w:color="auto" w:sz="0" w:space="0"/>
          <w:lang w:val="en-US" w:eastAsia="zh-CN" w:bidi="ar"/>
        </w:rPr>
        <w:fldChar w:fldCharType="separate"/>
      </w:r>
      <w:r>
        <w:rPr>
          <w:rStyle w:val="7"/>
          <w:rFonts w:hint="default" w:ascii="Verdana" w:hAnsi="Verdana" w:eastAsia="宋体" w:cs="Verdana"/>
          <w:color w:val="256EB1"/>
          <w:sz w:val="21"/>
          <w:szCs w:val="21"/>
          <w:u w:val="none"/>
          <w:bdr w:val="none" w:color="auto" w:sz="0" w:space="0"/>
        </w:rPr>
        <w:t>发送至电子邮箱： jszgcjfh@126.com</w:t>
      </w:r>
      <w:r>
        <w:rPr>
          <w:rFonts w:hint="default" w:ascii="Verdana" w:hAnsi="Verdana" w:eastAsia="宋体" w:cs="Verdana"/>
          <w:color w:val="256EB1"/>
          <w:kern w:val="0"/>
          <w:sz w:val="21"/>
          <w:szCs w:val="21"/>
          <w:u w:val="none"/>
          <w:bdr w:val="none" w:color="auto" w:sz="0" w:space="0"/>
          <w:lang w:val="en-US" w:eastAsia="zh-CN" w:bidi="ar"/>
        </w:rPr>
        <w:fldChar w:fldCharType="end"/>
      </w:r>
      <w:r>
        <w:rPr>
          <w:rFonts w:hint="default" w:ascii="Verdana" w:hAnsi="Verdana" w:eastAsia="宋体" w:cs="Verdana"/>
          <w:color w:val="626262"/>
          <w:kern w:val="0"/>
          <w:sz w:val="21"/>
          <w:szCs w:val="21"/>
          <w:bdr w:val="none" w:color="auto" w:sz="0" w:space="0"/>
          <w:lang w:val="en-US" w:eastAsia="zh-CN" w:bidi="ar"/>
        </w:rPr>
        <w:t>提出复核申请。</w:t>
      </w:r>
      <w:r>
        <w:rPr>
          <w:rFonts w:hint="default" w:ascii="Verdana" w:hAnsi="Verdana" w:eastAsia="宋体" w:cs="Verdana"/>
          <w:color w:val="626262"/>
          <w:kern w:val="0"/>
          <w:sz w:val="21"/>
          <w:szCs w:val="21"/>
          <w:bdr w:val="none" w:color="auto" w:sz="0" w:space="0"/>
          <w:lang w:val="en-US" w:eastAsia="zh-CN" w:bidi="ar"/>
        </w:rPr>
        <w:br w:type="textWrapping"/>
      </w:r>
      <w:r>
        <w:rPr>
          <w:rStyle w:val="5"/>
          <w:rFonts w:hint="default" w:ascii="Verdana" w:hAnsi="Verdana" w:eastAsia="宋体" w:cs="Verdana"/>
          <w:color w:val="626262"/>
          <w:kern w:val="0"/>
          <w:sz w:val="21"/>
          <w:szCs w:val="21"/>
          <w:bdr w:val="none" w:color="auto" w:sz="0" w:space="0"/>
          <w:lang w:val="en-US" w:eastAsia="zh-CN" w:bidi="ar"/>
        </w:rPr>
        <w:t xml:space="preserve">2.    </w:t>
      </w:r>
      <w:r>
        <w:rPr>
          <w:rFonts w:hint="default" w:ascii="Verdana" w:hAnsi="Verdana" w:eastAsia="宋体" w:cs="Verdana"/>
          <w:color w:val="626262"/>
          <w:kern w:val="0"/>
          <w:sz w:val="21"/>
          <w:szCs w:val="21"/>
          <w:bdr w:val="none" w:color="auto" w:sz="0" w:space="0"/>
          <w:lang w:val="en-US" w:eastAsia="zh-CN" w:bidi="ar"/>
        </w:rPr>
        <w:t>复核时仅查询登记分数是否准确。</w:t>
      </w:r>
      <w:r>
        <w:rPr>
          <w:rFonts w:hint="default" w:ascii="Verdana" w:hAnsi="Verdana" w:eastAsia="宋体" w:cs="Verdana"/>
          <w:color w:val="626262"/>
          <w:kern w:val="0"/>
          <w:sz w:val="21"/>
          <w:szCs w:val="21"/>
          <w:bdr w:val="none" w:color="auto" w:sz="0" w:space="0"/>
          <w:lang w:val="en-US" w:eastAsia="zh-CN" w:bidi="ar"/>
        </w:rPr>
        <w:br w:type="textWrapping"/>
      </w:r>
      <w:r>
        <w:rPr>
          <w:rStyle w:val="5"/>
          <w:rFonts w:hint="default" w:ascii="Verdana" w:hAnsi="Verdana" w:eastAsia="宋体" w:cs="Verdana"/>
          <w:color w:val="626262"/>
          <w:kern w:val="0"/>
          <w:sz w:val="21"/>
          <w:szCs w:val="21"/>
          <w:bdr w:val="none" w:color="auto" w:sz="0" w:space="0"/>
          <w:lang w:val="en-US" w:eastAsia="zh-CN" w:bidi="ar"/>
        </w:rPr>
        <w:t xml:space="preserve">3.    </w:t>
      </w:r>
      <w:r>
        <w:rPr>
          <w:rFonts w:hint="default" w:ascii="Verdana" w:hAnsi="Verdana" w:eastAsia="宋体" w:cs="Verdana"/>
          <w:color w:val="626262"/>
          <w:kern w:val="0"/>
          <w:sz w:val="21"/>
          <w:szCs w:val="21"/>
          <w:bdr w:val="none" w:color="auto" w:sz="0" w:space="0"/>
          <w:lang w:val="en-US" w:eastAsia="zh-CN" w:bidi="ar"/>
        </w:rPr>
        <w:t>工作人员在受理复核申请5个工作日内通过电子邮件或电话回复成绩复核结果。</w:t>
      </w:r>
    </w:p>
    <w:p>
      <w:pPr>
        <w:spacing w:after="240" w:afterAutospacing="0"/>
        <w:rPr>
          <w:rStyle w:val="5"/>
          <w:rFonts w:hint="eastAsia" w:ascii="Verdana" w:hAnsi="Verdana" w:eastAsia="宋体" w:cs="Verdana"/>
          <w:color w:val="626262"/>
          <w:sz w:val="21"/>
          <w:szCs w:val="21"/>
          <w:bdr w:val="none" w:color="auto" w:sz="0" w:space="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94432E"/>
    <w:rsid w:val="4F94432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256EB1"/>
      <w:u w:val="none"/>
    </w:rPr>
  </w:style>
  <w:style w:type="character" w:styleId="7">
    <w:name w:val="Hyperlink"/>
    <w:basedOn w:val="4"/>
    <w:uiPriority w:val="0"/>
    <w:rPr>
      <w:color w:val="256EB1"/>
      <w:u w:val="none"/>
    </w:rPr>
  </w:style>
  <w:style w:type="character" w:customStyle="1" w:styleId="9">
    <w:name w:val="info2"/>
    <w:basedOn w:val="4"/>
    <w:uiPriority w:val="0"/>
    <w:rPr>
      <w:color w:val="776955"/>
      <w:bdr w:val="none" w:color="auto" w:sz="0" w:space="0"/>
    </w:rPr>
  </w:style>
  <w:style w:type="character" w:customStyle="1" w:styleId="10">
    <w:name w:val="info3"/>
    <w:basedOn w:val="4"/>
    <w:uiPriority w:val="0"/>
    <w:rPr>
      <w:color w:val="555555"/>
      <w:bdr w:val="none" w:color="auto" w:sz="0" w:space="0"/>
    </w:rPr>
  </w:style>
  <w:style w:type="character" w:customStyle="1" w:styleId="11">
    <w:name w:val="fr"/>
    <w:basedOn w:val="4"/>
    <w:uiPriority w:val="0"/>
  </w:style>
  <w:style w:type="character" w:customStyle="1" w:styleId="12">
    <w:name w:val="fr1"/>
    <w:basedOn w:val="4"/>
    <w:uiPriority w:val="0"/>
  </w:style>
  <w:style w:type="character" w:customStyle="1" w:styleId="13">
    <w:name w:val="fr2"/>
    <w:basedOn w:val="4"/>
    <w:uiPriority w:val="0"/>
  </w:style>
  <w:style w:type="character" w:customStyle="1" w:styleId="14">
    <w:name w:val="info"/>
    <w:basedOn w:val="4"/>
    <w:uiPriority w:val="0"/>
    <w:rPr>
      <w:color w:val="555555"/>
      <w:bdr w:val="none" w:color="auto" w:sz="0" w:space="0"/>
    </w:rPr>
  </w:style>
  <w:style w:type="character" w:customStyle="1" w:styleId="15">
    <w:name w:val="info1"/>
    <w:basedOn w:val="4"/>
    <w:uiPriority w:val="0"/>
    <w:rPr>
      <w:color w:val="C51333"/>
      <w:bdr w:val="none" w:color="auto" w:sz="0" w:space="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2016-09-02T05:33:00Z</dcterms:created>
  <dc:creator>Administrator</dc:creator>
  <cp:lastModifiedBy>Administrator</cp:lastModifiedBy>
  <dcterms:modified xsi:type="dcterms:W3CDTF">2016-09-02T05:51:17Z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